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AEB75" w14:textId="77777777" w:rsidR="0043663C" w:rsidRDefault="00000000">
      <w:pPr>
        <w:spacing w:after="40"/>
        <w:jc w:val="center"/>
      </w:pPr>
      <w:r>
        <w:rPr>
          <w:noProof/>
        </w:rPr>
        <w:drawing>
          <wp:inline distT="0" distB="0" distL="0" distR="0" wp14:anchorId="1482FDA0" wp14:editId="0048AC56">
            <wp:extent cx="1298448" cy="10117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c_logo.png"/>
                    <pic:cNvPicPr/>
                  </pic:nvPicPr>
                  <pic:blipFill>
                    <a:blip r:embed="rId8"/>
                    <a:stretch>
                      <a:fillRect/>
                    </a:stretch>
                  </pic:blipFill>
                  <pic:spPr>
                    <a:xfrm>
                      <a:off x="0" y="0"/>
                      <a:ext cx="1298448" cy="1011778"/>
                    </a:xfrm>
                    <a:prstGeom prst="rect">
                      <a:avLst/>
                    </a:prstGeom>
                  </pic:spPr>
                </pic:pic>
              </a:graphicData>
            </a:graphic>
          </wp:inline>
        </w:drawing>
      </w:r>
    </w:p>
    <w:p w14:paraId="4767AE16" w14:textId="77777777" w:rsidR="0043663C" w:rsidRDefault="00000000">
      <w:pPr>
        <w:pStyle w:val="PRCTitle"/>
        <w:spacing w:after="0"/>
        <w:jc w:val="center"/>
      </w:pPr>
      <w:r>
        <w:t>Powell Recovery Center, Inc.</w:t>
      </w:r>
    </w:p>
    <w:p w14:paraId="6F8E5FE0" w14:textId="77777777" w:rsidR="0043663C" w:rsidRDefault="00000000">
      <w:pPr>
        <w:pStyle w:val="PRCSubtitle"/>
        <w:pBdr>
          <w:bottom w:val="single" w:sz="12" w:space="1" w:color="1F4E79"/>
        </w:pBdr>
        <w:spacing w:after="120"/>
        <w:jc w:val="center"/>
      </w:pPr>
      <w:r>
        <w:t>14 South Broadway | Baltimore, Maryland 21231 | (410) 276-1773 | prcinc.org</w:t>
      </w:r>
    </w:p>
    <w:p w14:paraId="44010511" w14:textId="77777777" w:rsidR="0043663C" w:rsidRDefault="00000000">
      <w:pPr>
        <w:spacing w:before="80" w:after="20"/>
        <w:jc w:val="center"/>
      </w:pPr>
      <w:r>
        <w:rPr>
          <w:b/>
          <w:color w:val="1F4E79"/>
          <w:sz w:val="26"/>
        </w:rPr>
        <w:t>WRITTEN TESTIMONY</w:t>
      </w:r>
    </w:p>
    <w:p w14:paraId="762C3E34" w14:textId="77777777" w:rsidR="0043663C" w:rsidRPr="00E81768" w:rsidRDefault="00000000">
      <w:pPr>
        <w:spacing w:after="120"/>
        <w:jc w:val="center"/>
        <w:rPr>
          <w:sz w:val="24"/>
          <w:szCs w:val="24"/>
        </w:rPr>
      </w:pPr>
      <w:r w:rsidRPr="00E81768">
        <w:rPr>
          <w:b/>
          <w:sz w:val="24"/>
          <w:szCs w:val="24"/>
        </w:rPr>
        <w:t>Baltimore City Council Public Health &amp; Environment Committee</w:t>
      </w:r>
    </w:p>
    <w:tbl>
      <w:tblPr>
        <w:tblW w:w="0" w:type="auto"/>
        <w:jc w:val="center"/>
        <w:tblLook w:val="04A0" w:firstRow="1" w:lastRow="0" w:firstColumn="1" w:lastColumn="0" w:noHBand="0" w:noVBand="1"/>
      </w:tblPr>
      <w:tblGrid>
        <w:gridCol w:w="5040"/>
        <w:gridCol w:w="5040"/>
      </w:tblGrid>
      <w:tr w:rsidR="0043663C" w:rsidRPr="00E81768" w14:paraId="74F541E2" w14:textId="77777777">
        <w:trPr>
          <w:jc w:val="center"/>
        </w:trPr>
        <w:tc>
          <w:tcPr>
            <w:tcW w:w="5040" w:type="dxa"/>
            <w:tcBorders>
              <w:top w:val="nil"/>
              <w:left w:val="nil"/>
              <w:bottom w:val="nil"/>
              <w:right w:val="nil"/>
            </w:tcBorders>
            <w:tcMar>
              <w:top w:w="80" w:type="dxa"/>
              <w:left w:w="80" w:type="dxa"/>
              <w:bottom w:w="80" w:type="dxa"/>
              <w:right w:w="80" w:type="dxa"/>
            </w:tcMar>
          </w:tcPr>
          <w:p w14:paraId="1A5B59B6" w14:textId="77777777" w:rsidR="0043663C" w:rsidRPr="00E81768" w:rsidRDefault="00000000">
            <w:pPr>
              <w:spacing w:after="20"/>
              <w:rPr>
                <w:sz w:val="24"/>
                <w:szCs w:val="24"/>
              </w:rPr>
            </w:pPr>
            <w:r w:rsidRPr="00E81768">
              <w:rPr>
                <w:b/>
                <w:sz w:val="24"/>
                <w:szCs w:val="24"/>
              </w:rPr>
              <w:t>Hearing:</w:t>
            </w:r>
          </w:p>
        </w:tc>
        <w:tc>
          <w:tcPr>
            <w:tcW w:w="5040" w:type="dxa"/>
            <w:tcBorders>
              <w:top w:val="nil"/>
              <w:left w:val="nil"/>
              <w:bottom w:val="nil"/>
              <w:right w:val="nil"/>
            </w:tcBorders>
            <w:tcMar>
              <w:top w:w="80" w:type="dxa"/>
              <w:left w:w="80" w:type="dxa"/>
              <w:bottom w:w="80" w:type="dxa"/>
              <w:right w:w="80" w:type="dxa"/>
            </w:tcMar>
          </w:tcPr>
          <w:p w14:paraId="3D8D68AB" w14:textId="77777777" w:rsidR="0043663C" w:rsidRPr="00E81768" w:rsidRDefault="00000000">
            <w:pPr>
              <w:spacing w:after="20"/>
              <w:rPr>
                <w:sz w:val="24"/>
                <w:szCs w:val="24"/>
              </w:rPr>
            </w:pPr>
            <w:r w:rsidRPr="00E81768">
              <w:rPr>
                <w:sz w:val="24"/>
                <w:szCs w:val="24"/>
              </w:rPr>
              <w:t>LO25-0024 - Oversight of Recovery Homes and Substance Abuse Clinics in Baltimore City</w:t>
            </w:r>
          </w:p>
        </w:tc>
      </w:tr>
      <w:tr w:rsidR="0043663C" w:rsidRPr="00E81768" w14:paraId="1CF84526" w14:textId="77777777">
        <w:trPr>
          <w:jc w:val="center"/>
        </w:trPr>
        <w:tc>
          <w:tcPr>
            <w:tcW w:w="5040" w:type="dxa"/>
            <w:tcBorders>
              <w:top w:val="nil"/>
              <w:left w:val="nil"/>
              <w:bottom w:val="nil"/>
              <w:right w:val="nil"/>
            </w:tcBorders>
            <w:tcMar>
              <w:top w:w="80" w:type="dxa"/>
              <w:left w:w="80" w:type="dxa"/>
              <w:bottom w:w="80" w:type="dxa"/>
              <w:right w:w="80" w:type="dxa"/>
            </w:tcMar>
          </w:tcPr>
          <w:p w14:paraId="7FED6C2A" w14:textId="77777777" w:rsidR="0043663C" w:rsidRPr="00E81768" w:rsidRDefault="00000000">
            <w:pPr>
              <w:spacing w:after="20"/>
              <w:rPr>
                <w:sz w:val="24"/>
                <w:szCs w:val="24"/>
              </w:rPr>
            </w:pPr>
            <w:r w:rsidRPr="00E81768">
              <w:rPr>
                <w:b/>
                <w:sz w:val="24"/>
                <w:szCs w:val="24"/>
              </w:rPr>
              <w:t>Date:</w:t>
            </w:r>
          </w:p>
        </w:tc>
        <w:tc>
          <w:tcPr>
            <w:tcW w:w="5040" w:type="dxa"/>
            <w:tcBorders>
              <w:top w:val="nil"/>
              <w:left w:val="nil"/>
              <w:bottom w:val="nil"/>
              <w:right w:val="nil"/>
            </w:tcBorders>
            <w:tcMar>
              <w:top w:w="80" w:type="dxa"/>
              <w:left w:w="80" w:type="dxa"/>
              <w:bottom w:w="80" w:type="dxa"/>
              <w:right w:w="80" w:type="dxa"/>
            </w:tcMar>
          </w:tcPr>
          <w:p w14:paraId="525B8B35" w14:textId="77777777" w:rsidR="0043663C" w:rsidRPr="00E81768" w:rsidRDefault="00000000">
            <w:pPr>
              <w:spacing w:after="20"/>
              <w:rPr>
                <w:sz w:val="24"/>
                <w:szCs w:val="24"/>
              </w:rPr>
            </w:pPr>
            <w:r w:rsidRPr="00E81768">
              <w:rPr>
                <w:sz w:val="24"/>
                <w:szCs w:val="24"/>
              </w:rPr>
              <w:t>April 29, 2026</w:t>
            </w:r>
          </w:p>
        </w:tc>
      </w:tr>
      <w:tr w:rsidR="0043663C" w:rsidRPr="00E81768" w14:paraId="3904C0C3" w14:textId="77777777">
        <w:trPr>
          <w:jc w:val="center"/>
        </w:trPr>
        <w:tc>
          <w:tcPr>
            <w:tcW w:w="5040" w:type="dxa"/>
            <w:tcBorders>
              <w:top w:val="nil"/>
              <w:left w:val="nil"/>
              <w:bottom w:val="nil"/>
              <w:right w:val="nil"/>
            </w:tcBorders>
            <w:tcMar>
              <w:top w:w="80" w:type="dxa"/>
              <w:left w:w="80" w:type="dxa"/>
              <w:bottom w:w="80" w:type="dxa"/>
              <w:right w:w="80" w:type="dxa"/>
            </w:tcMar>
          </w:tcPr>
          <w:p w14:paraId="7B8194EC" w14:textId="77777777" w:rsidR="0043663C" w:rsidRPr="00E81768" w:rsidRDefault="00000000">
            <w:pPr>
              <w:spacing w:after="20"/>
              <w:rPr>
                <w:sz w:val="24"/>
                <w:szCs w:val="24"/>
              </w:rPr>
            </w:pPr>
            <w:r w:rsidRPr="00E81768">
              <w:rPr>
                <w:b/>
                <w:sz w:val="24"/>
                <w:szCs w:val="24"/>
              </w:rPr>
              <w:t>Submitted by:</w:t>
            </w:r>
          </w:p>
        </w:tc>
        <w:tc>
          <w:tcPr>
            <w:tcW w:w="5040" w:type="dxa"/>
            <w:tcBorders>
              <w:top w:val="nil"/>
              <w:left w:val="nil"/>
              <w:bottom w:val="nil"/>
              <w:right w:val="nil"/>
            </w:tcBorders>
            <w:tcMar>
              <w:top w:w="80" w:type="dxa"/>
              <w:left w:w="80" w:type="dxa"/>
              <w:bottom w:w="80" w:type="dxa"/>
              <w:right w:w="80" w:type="dxa"/>
            </w:tcMar>
          </w:tcPr>
          <w:p w14:paraId="353B24EF" w14:textId="3675F7F9" w:rsidR="0043663C" w:rsidRPr="00E81768" w:rsidRDefault="00000000">
            <w:pPr>
              <w:spacing w:after="20"/>
              <w:rPr>
                <w:sz w:val="24"/>
                <w:szCs w:val="24"/>
              </w:rPr>
            </w:pPr>
            <w:r w:rsidRPr="00E81768">
              <w:rPr>
                <w:sz w:val="24"/>
                <w:szCs w:val="24"/>
              </w:rPr>
              <w:t xml:space="preserve">Kim Wireman, </w:t>
            </w:r>
            <w:r w:rsidR="00E81768">
              <w:rPr>
                <w:sz w:val="24"/>
                <w:szCs w:val="24"/>
              </w:rPr>
              <w:t xml:space="preserve">LCSW-C, LCADC </w:t>
            </w:r>
            <w:r w:rsidRPr="00E81768">
              <w:rPr>
                <w:sz w:val="24"/>
                <w:szCs w:val="24"/>
              </w:rPr>
              <w:t>on behalf of Powell Recovery Center</w:t>
            </w:r>
          </w:p>
        </w:tc>
      </w:tr>
      <w:tr w:rsidR="0043663C" w:rsidRPr="00E81768" w14:paraId="22B08A9A" w14:textId="77777777">
        <w:trPr>
          <w:jc w:val="center"/>
        </w:trPr>
        <w:tc>
          <w:tcPr>
            <w:tcW w:w="5040" w:type="dxa"/>
            <w:tcBorders>
              <w:top w:val="nil"/>
              <w:left w:val="nil"/>
              <w:bottom w:val="nil"/>
              <w:right w:val="nil"/>
            </w:tcBorders>
            <w:tcMar>
              <w:top w:w="80" w:type="dxa"/>
              <w:left w:w="80" w:type="dxa"/>
              <w:bottom w:w="80" w:type="dxa"/>
              <w:right w:w="80" w:type="dxa"/>
            </w:tcMar>
          </w:tcPr>
          <w:p w14:paraId="0663CDD0" w14:textId="77777777" w:rsidR="0043663C" w:rsidRPr="00E81768" w:rsidRDefault="00000000">
            <w:pPr>
              <w:spacing w:after="20"/>
              <w:rPr>
                <w:sz w:val="24"/>
                <w:szCs w:val="24"/>
              </w:rPr>
            </w:pPr>
            <w:r w:rsidRPr="00E81768">
              <w:rPr>
                <w:b/>
                <w:sz w:val="24"/>
                <w:szCs w:val="24"/>
              </w:rPr>
              <w:t>Position:</w:t>
            </w:r>
          </w:p>
        </w:tc>
        <w:tc>
          <w:tcPr>
            <w:tcW w:w="5040" w:type="dxa"/>
            <w:tcBorders>
              <w:top w:val="nil"/>
              <w:left w:val="nil"/>
              <w:bottom w:val="nil"/>
              <w:right w:val="nil"/>
            </w:tcBorders>
            <w:tcMar>
              <w:top w:w="80" w:type="dxa"/>
              <w:left w:w="80" w:type="dxa"/>
              <w:bottom w:w="80" w:type="dxa"/>
              <w:right w:w="80" w:type="dxa"/>
            </w:tcMar>
          </w:tcPr>
          <w:p w14:paraId="3DDB574A" w14:textId="77777777" w:rsidR="0043663C" w:rsidRPr="00E81768" w:rsidRDefault="00000000">
            <w:pPr>
              <w:spacing w:after="20"/>
              <w:rPr>
                <w:sz w:val="24"/>
                <w:szCs w:val="24"/>
              </w:rPr>
            </w:pPr>
            <w:r w:rsidRPr="00E81768">
              <w:rPr>
                <w:sz w:val="24"/>
                <w:szCs w:val="24"/>
              </w:rPr>
              <w:t>Informational - Support for quality standards, accountability, and data-driven oversight</w:t>
            </w:r>
          </w:p>
        </w:tc>
      </w:tr>
    </w:tbl>
    <w:p w14:paraId="69C1EBD1" w14:textId="77777777" w:rsidR="0043663C" w:rsidRDefault="0043663C">
      <w:pPr>
        <w:spacing w:after="40"/>
      </w:pPr>
    </w:p>
    <w:p w14:paraId="4F80A1C4" w14:textId="3FE01563" w:rsidR="0043663C" w:rsidRPr="00E81768" w:rsidRDefault="00E81768">
      <w:pPr>
        <w:spacing w:after="100"/>
        <w:rPr>
          <w:sz w:val="28"/>
          <w:szCs w:val="28"/>
        </w:rPr>
      </w:pPr>
      <w:r w:rsidRPr="00E81768">
        <w:rPr>
          <w:b/>
          <w:sz w:val="28"/>
          <w:szCs w:val="28"/>
        </w:rPr>
        <w:t>Chair Porter and Members of the Committee:</w:t>
      </w:r>
    </w:p>
    <w:p w14:paraId="14CACB2D" w14:textId="6CA248F9" w:rsidR="0043663C" w:rsidRPr="00E81768" w:rsidRDefault="00000000">
      <w:pPr>
        <w:rPr>
          <w:sz w:val="28"/>
          <w:szCs w:val="28"/>
        </w:rPr>
      </w:pPr>
      <w:r w:rsidRPr="00E81768">
        <w:rPr>
          <w:sz w:val="28"/>
          <w:szCs w:val="28"/>
        </w:rPr>
        <w:t xml:space="preserve">Powell Recovery Center appreciates the opportunity to submit testimony for the Committee’s continued oversight of recovery homes and substance use disorder treatment programs in Baltimore City. Baltimore is right to ask hard questions about these services. The public needs to know which programs are licensed, which recovery homes are certified, and whether people entering care are </w:t>
      </w:r>
      <w:r w:rsidR="00AE5174" w:rsidRPr="00E81768">
        <w:rPr>
          <w:sz w:val="28"/>
          <w:szCs w:val="28"/>
        </w:rPr>
        <w:t>safer</w:t>
      </w:r>
      <w:r w:rsidRPr="00E81768">
        <w:rPr>
          <w:sz w:val="28"/>
          <w:szCs w:val="28"/>
        </w:rPr>
        <w:t>, more stable, and better connected afterward.</w:t>
      </w:r>
    </w:p>
    <w:p w14:paraId="42E13133" w14:textId="77777777" w:rsidR="0043663C" w:rsidRPr="00E81768" w:rsidRDefault="00000000">
      <w:pPr>
        <w:rPr>
          <w:sz w:val="28"/>
          <w:szCs w:val="28"/>
        </w:rPr>
      </w:pPr>
      <w:r w:rsidRPr="00E81768">
        <w:rPr>
          <w:sz w:val="28"/>
          <w:szCs w:val="28"/>
        </w:rPr>
        <w:t>PRC welcomes accountability. Good providers should want clear standards because clear standards help the City distinguish responsible, licensed treatment from unsafe or exploitative arrangements.</w:t>
      </w:r>
    </w:p>
    <w:p w14:paraId="54293FAD" w14:textId="434F8E8F" w:rsidR="0043663C" w:rsidRPr="00E81768" w:rsidRDefault="00000000">
      <w:pPr>
        <w:rPr>
          <w:sz w:val="28"/>
          <w:szCs w:val="28"/>
        </w:rPr>
      </w:pPr>
      <w:r w:rsidRPr="00E81768">
        <w:rPr>
          <w:sz w:val="28"/>
          <w:szCs w:val="28"/>
        </w:rPr>
        <w:t>The draft COMAR revisions move in the right direction by strengthening expectations around clinical staffing, supervision, toxicology testing</w:t>
      </w:r>
      <w:r w:rsidR="00F3269E">
        <w:rPr>
          <w:sz w:val="28"/>
          <w:szCs w:val="28"/>
        </w:rPr>
        <w:t xml:space="preserve"> and</w:t>
      </w:r>
      <w:r w:rsidRPr="00E81768">
        <w:rPr>
          <w:sz w:val="28"/>
          <w:szCs w:val="28"/>
        </w:rPr>
        <w:t xml:space="preserve"> documentation. Those are the kinds of standards that help separate quality providers from programs operating with little clinical depth or accountability. One area that also deserves attention is telehealth. Telehealth can be useful, but if a PHP or IOP program is operating entirely or almost entirely by telehealth, that should be clearly disclosed.</w:t>
      </w:r>
    </w:p>
    <w:p w14:paraId="3D733AE7" w14:textId="77777777" w:rsidR="00E81768" w:rsidRDefault="00E81768">
      <w:pPr>
        <w:rPr>
          <w:sz w:val="28"/>
          <w:szCs w:val="28"/>
        </w:rPr>
      </w:pPr>
    </w:p>
    <w:p w14:paraId="76907488" w14:textId="77777777" w:rsidR="00E81768" w:rsidRDefault="00E81768" w:rsidP="00E81768">
      <w:pPr>
        <w:spacing w:after="40"/>
        <w:jc w:val="center"/>
      </w:pPr>
      <w:r>
        <w:rPr>
          <w:noProof/>
        </w:rPr>
        <w:lastRenderedPageBreak/>
        <w:drawing>
          <wp:inline distT="0" distB="0" distL="0" distR="0" wp14:anchorId="31B19917" wp14:editId="054AD390">
            <wp:extent cx="1298448" cy="1011778"/>
            <wp:effectExtent l="0" t="0" r="0" b="0"/>
            <wp:docPr id="1310935106" name="Picture 13109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c_logo.png"/>
                    <pic:cNvPicPr/>
                  </pic:nvPicPr>
                  <pic:blipFill>
                    <a:blip r:embed="rId8"/>
                    <a:stretch>
                      <a:fillRect/>
                    </a:stretch>
                  </pic:blipFill>
                  <pic:spPr>
                    <a:xfrm>
                      <a:off x="0" y="0"/>
                      <a:ext cx="1298448" cy="1011778"/>
                    </a:xfrm>
                    <a:prstGeom prst="rect">
                      <a:avLst/>
                    </a:prstGeom>
                  </pic:spPr>
                </pic:pic>
              </a:graphicData>
            </a:graphic>
          </wp:inline>
        </w:drawing>
      </w:r>
    </w:p>
    <w:p w14:paraId="1ED38E87" w14:textId="77777777" w:rsidR="00E81768" w:rsidRDefault="00E81768" w:rsidP="00E81768">
      <w:pPr>
        <w:pStyle w:val="PRCTitle"/>
        <w:spacing w:after="0"/>
        <w:jc w:val="center"/>
      </w:pPr>
      <w:r>
        <w:t>Powell Recovery Center, Inc.</w:t>
      </w:r>
    </w:p>
    <w:p w14:paraId="350F941B" w14:textId="77777777" w:rsidR="00E81768" w:rsidRDefault="00E81768" w:rsidP="00E81768">
      <w:pPr>
        <w:pStyle w:val="PRCSubtitle"/>
        <w:pBdr>
          <w:bottom w:val="single" w:sz="12" w:space="1" w:color="1F4E79"/>
        </w:pBdr>
        <w:spacing w:after="120"/>
        <w:jc w:val="center"/>
      </w:pPr>
      <w:r>
        <w:t>14 South Broadway | Baltimore, Maryland 21231 | (410) 276-1773 | prcinc.org</w:t>
      </w:r>
    </w:p>
    <w:p w14:paraId="1B9C68D6" w14:textId="77777777" w:rsidR="00E81768" w:rsidRDefault="00E81768">
      <w:pPr>
        <w:rPr>
          <w:sz w:val="28"/>
          <w:szCs w:val="28"/>
        </w:rPr>
      </w:pPr>
    </w:p>
    <w:p w14:paraId="4D7CBAFF" w14:textId="78D0F388" w:rsidR="0043663C" w:rsidRPr="00E81768" w:rsidRDefault="00000000">
      <w:pPr>
        <w:rPr>
          <w:sz w:val="28"/>
          <w:szCs w:val="28"/>
        </w:rPr>
      </w:pPr>
      <w:r w:rsidRPr="00E81768">
        <w:rPr>
          <w:sz w:val="28"/>
          <w:szCs w:val="28"/>
        </w:rPr>
        <w:t xml:space="preserve">The draft COMAR revisions also strengthen recovery residence oversight by making clear that recovery residences are housing and recovery support, not clinical treatment. They require certification, </w:t>
      </w:r>
      <w:r w:rsidR="00AE5174">
        <w:rPr>
          <w:sz w:val="28"/>
          <w:szCs w:val="28"/>
        </w:rPr>
        <w:t xml:space="preserve">have </w:t>
      </w:r>
      <w:r w:rsidRPr="00E81768">
        <w:rPr>
          <w:sz w:val="28"/>
          <w:szCs w:val="28"/>
        </w:rPr>
        <w:t>staffing expectations</w:t>
      </w:r>
      <w:r w:rsidR="00AE5174">
        <w:rPr>
          <w:sz w:val="28"/>
          <w:szCs w:val="28"/>
        </w:rPr>
        <w:t xml:space="preserve">, </w:t>
      </w:r>
      <w:r w:rsidRPr="00E81768">
        <w:rPr>
          <w:sz w:val="28"/>
          <w:szCs w:val="28"/>
        </w:rPr>
        <w:t xml:space="preserve">clear terms of occupancy and financial obligations, individualized recovery planning, and notice that residents have the freedom to receive treatment from the provider and location of </w:t>
      </w:r>
      <w:r w:rsidR="00AE5174">
        <w:rPr>
          <w:sz w:val="28"/>
          <w:szCs w:val="28"/>
        </w:rPr>
        <w:t xml:space="preserve">the client’s </w:t>
      </w:r>
      <w:r w:rsidR="00AE5174" w:rsidRPr="00E81768">
        <w:rPr>
          <w:sz w:val="28"/>
          <w:szCs w:val="28"/>
        </w:rPr>
        <w:t>choice</w:t>
      </w:r>
      <w:r w:rsidRPr="00E81768">
        <w:rPr>
          <w:sz w:val="28"/>
          <w:szCs w:val="28"/>
        </w:rPr>
        <w:t>. Housing should support recovery, but it should not be used to steer or require clients into a particular Medicaid-billed treatment program.</w:t>
      </w:r>
    </w:p>
    <w:p w14:paraId="13362AD2" w14:textId="77777777" w:rsidR="004F3EE3" w:rsidRDefault="00000000">
      <w:pPr>
        <w:rPr>
          <w:sz w:val="28"/>
          <w:szCs w:val="28"/>
        </w:rPr>
      </w:pPr>
      <w:r w:rsidRPr="00E81768">
        <w:rPr>
          <w:sz w:val="28"/>
          <w:szCs w:val="28"/>
        </w:rPr>
        <w:t>Quality should also be measured. Baltimore should ask</w:t>
      </w:r>
      <w:r w:rsidR="004F3EE3">
        <w:rPr>
          <w:sz w:val="28"/>
          <w:szCs w:val="28"/>
        </w:rPr>
        <w:t xml:space="preserve">:  </w:t>
      </w:r>
    </w:p>
    <w:p w14:paraId="16F89507" w14:textId="77D74B20" w:rsidR="004F3EE3" w:rsidRDefault="004F3EE3" w:rsidP="004F3EE3">
      <w:pPr>
        <w:pStyle w:val="ListParagraph"/>
        <w:numPr>
          <w:ilvl w:val="0"/>
          <w:numId w:val="10"/>
        </w:numPr>
        <w:rPr>
          <w:sz w:val="28"/>
          <w:szCs w:val="28"/>
        </w:rPr>
      </w:pPr>
      <w:r>
        <w:rPr>
          <w:sz w:val="28"/>
          <w:szCs w:val="28"/>
        </w:rPr>
        <w:t>Are</w:t>
      </w:r>
      <w:r w:rsidRPr="004F3EE3">
        <w:rPr>
          <w:sz w:val="28"/>
          <w:szCs w:val="28"/>
        </w:rPr>
        <w:t xml:space="preserve"> clients able to access medications for opioid use disorder when clinically appropriate</w:t>
      </w:r>
      <w:r>
        <w:rPr>
          <w:sz w:val="28"/>
          <w:szCs w:val="28"/>
        </w:rPr>
        <w:t>?</w:t>
      </w:r>
    </w:p>
    <w:p w14:paraId="1BC8E5B7" w14:textId="3DB59C23" w:rsidR="004F3EE3" w:rsidRDefault="004F3EE3" w:rsidP="004F3EE3">
      <w:pPr>
        <w:pStyle w:val="ListParagraph"/>
        <w:numPr>
          <w:ilvl w:val="0"/>
          <w:numId w:val="10"/>
        </w:numPr>
        <w:rPr>
          <w:sz w:val="28"/>
          <w:szCs w:val="28"/>
        </w:rPr>
      </w:pPr>
      <w:r>
        <w:rPr>
          <w:sz w:val="28"/>
          <w:szCs w:val="28"/>
        </w:rPr>
        <w:t xml:space="preserve">Are </w:t>
      </w:r>
      <w:r w:rsidRPr="004F3EE3">
        <w:rPr>
          <w:sz w:val="28"/>
          <w:szCs w:val="28"/>
        </w:rPr>
        <w:t>programs admitting people to the right level of care</w:t>
      </w:r>
      <w:r>
        <w:rPr>
          <w:sz w:val="28"/>
          <w:szCs w:val="28"/>
        </w:rPr>
        <w:t>?</w:t>
      </w:r>
      <w:r w:rsidRPr="004F3EE3">
        <w:rPr>
          <w:sz w:val="28"/>
          <w:szCs w:val="28"/>
        </w:rPr>
        <w:t xml:space="preserve"> </w:t>
      </w:r>
    </w:p>
    <w:p w14:paraId="35A7D38C" w14:textId="77777777" w:rsidR="004F3EE3" w:rsidRDefault="004F3EE3" w:rsidP="004F3EE3">
      <w:pPr>
        <w:pStyle w:val="ListParagraph"/>
        <w:numPr>
          <w:ilvl w:val="0"/>
          <w:numId w:val="10"/>
        </w:numPr>
        <w:rPr>
          <w:sz w:val="28"/>
          <w:szCs w:val="28"/>
        </w:rPr>
      </w:pPr>
      <w:r>
        <w:rPr>
          <w:sz w:val="28"/>
          <w:szCs w:val="28"/>
        </w:rPr>
        <w:t xml:space="preserve">Are </w:t>
      </w:r>
      <w:r w:rsidRPr="004F3EE3">
        <w:rPr>
          <w:sz w:val="28"/>
          <w:szCs w:val="28"/>
        </w:rPr>
        <w:t>clients staying beyond the first few days</w:t>
      </w:r>
      <w:r>
        <w:rPr>
          <w:sz w:val="28"/>
          <w:szCs w:val="28"/>
        </w:rPr>
        <w:t xml:space="preserve">?  </w:t>
      </w:r>
      <w:r w:rsidRPr="004F3EE3">
        <w:rPr>
          <w:sz w:val="28"/>
          <w:szCs w:val="28"/>
        </w:rPr>
        <w:t xml:space="preserve"> </w:t>
      </w:r>
    </w:p>
    <w:p w14:paraId="17E13B9D" w14:textId="77777777" w:rsidR="004F3EE3" w:rsidRDefault="004F3EE3" w:rsidP="004F3EE3">
      <w:pPr>
        <w:pStyle w:val="ListParagraph"/>
        <w:numPr>
          <w:ilvl w:val="0"/>
          <w:numId w:val="10"/>
        </w:numPr>
        <w:rPr>
          <w:sz w:val="28"/>
          <w:szCs w:val="28"/>
        </w:rPr>
      </w:pPr>
      <w:r>
        <w:rPr>
          <w:sz w:val="28"/>
          <w:szCs w:val="28"/>
        </w:rPr>
        <w:t xml:space="preserve">Are </w:t>
      </w:r>
      <w:r w:rsidRPr="004F3EE3">
        <w:rPr>
          <w:sz w:val="28"/>
          <w:szCs w:val="28"/>
        </w:rPr>
        <w:t>complaints and client feedback reviewed</w:t>
      </w:r>
      <w:r>
        <w:rPr>
          <w:sz w:val="28"/>
          <w:szCs w:val="28"/>
        </w:rPr>
        <w:t xml:space="preserve">? </w:t>
      </w:r>
      <w:r w:rsidRPr="004F3EE3">
        <w:rPr>
          <w:sz w:val="28"/>
          <w:szCs w:val="28"/>
        </w:rPr>
        <w:t xml:space="preserve"> </w:t>
      </w:r>
    </w:p>
    <w:p w14:paraId="069F7238" w14:textId="1C864AC1" w:rsidR="004F3EE3" w:rsidRDefault="004F3EE3" w:rsidP="004F3EE3">
      <w:pPr>
        <w:pStyle w:val="ListParagraph"/>
        <w:numPr>
          <w:ilvl w:val="0"/>
          <w:numId w:val="10"/>
        </w:numPr>
        <w:rPr>
          <w:sz w:val="28"/>
          <w:szCs w:val="28"/>
        </w:rPr>
      </w:pPr>
      <w:r>
        <w:rPr>
          <w:sz w:val="28"/>
          <w:szCs w:val="28"/>
        </w:rPr>
        <w:t xml:space="preserve">Are </w:t>
      </w:r>
      <w:r w:rsidRPr="004F3EE3">
        <w:rPr>
          <w:sz w:val="28"/>
          <w:szCs w:val="28"/>
        </w:rPr>
        <w:t>emergency department visits, overdoses</w:t>
      </w:r>
      <w:r>
        <w:rPr>
          <w:sz w:val="28"/>
          <w:szCs w:val="28"/>
        </w:rPr>
        <w:t xml:space="preserve"> and</w:t>
      </w:r>
      <w:r w:rsidRPr="004F3EE3">
        <w:rPr>
          <w:sz w:val="28"/>
          <w:szCs w:val="28"/>
        </w:rPr>
        <w:t xml:space="preserve"> deaths</w:t>
      </w:r>
      <w:r>
        <w:rPr>
          <w:sz w:val="28"/>
          <w:szCs w:val="28"/>
        </w:rPr>
        <w:t xml:space="preserve"> handled appropriately following COMAR regulations for critical incidents?</w:t>
      </w:r>
    </w:p>
    <w:p w14:paraId="451E98BC" w14:textId="6B8E9A3E" w:rsidR="0043663C" w:rsidRPr="004F3EE3" w:rsidRDefault="004F3EE3" w:rsidP="004F3EE3">
      <w:pPr>
        <w:pStyle w:val="ListParagraph"/>
        <w:numPr>
          <w:ilvl w:val="0"/>
          <w:numId w:val="10"/>
        </w:numPr>
        <w:rPr>
          <w:sz w:val="28"/>
          <w:szCs w:val="28"/>
        </w:rPr>
      </w:pPr>
      <w:r>
        <w:rPr>
          <w:sz w:val="28"/>
          <w:szCs w:val="28"/>
        </w:rPr>
        <w:t xml:space="preserve">Are </w:t>
      </w:r>
      <w:r w:rsidRPr="004F3EE3">
        <w:rPr>
          <w:sz w:val="28"/>
          <w:szCs w:val="28"/>
        </w:rPr>
        <w:t>outcomes being tracked</w:t>
      </w:r>
      <w:r>
        <w:rPr>
          <w:sz w:val="28"/>
          <w:szCs w:val="28"/>
        </w:rPr>
        <w:t>?</w:t>
      </w:r>
    </w:p>
    <w:p w14:paraId="41D644CE" w14:textId="666F762F" w:rsidR="0043663C" w:rsidRPr="00E81768" w:rsidRDefault="00000000">
      <w:pPr>
        <w:rPr>
          <w:sz w:val="28"/>
          <w:szCs w:val="28"/>
        </w:rPr>
      </w:pPr>
      <w:r w:rsidRPr="00E81768">
        <w:rPr>
          <w:sz w:val="28"/>
          <w:szCs w:val="28"/>
        </w:rPr>
        <w:t xml:space="preserve">Baltimore needs smart oversight paired with investment in </w:t>
      </w:r>
      <w:r w:rsidR="001066A2" w:rsidRPr="00E81768">
        <w:rPr>
          <w:sz w:val="28"/>
          <w:szCs w:val="28"/>
        </w:rPr>
        <w:t>outreach,</w:t>
      </w:r>
      <w:r w:rsidR="004F3EE3">
        <w:rPr>
          <w:sz w:val="28"/>
          <w:szCs w:val="28"/>
        </w:rPr>
        <w:t xml:space="preserve"> </w:t>
      </w:r>
      <w:r w:rsidRPr="00E81768">
        <w:rPr>
          <w:sz w:val="28"/>
          <w:szCs w:val="28"/>
        </w:rPr>
        <w:t>high-quality providers, real-time data exchange</w:t>
      </w:r>
      <w:r w:rsidR="004F3EE3">
        <w:rPr>
          <w:sz w:val="28"/>
          <w:szCs w:val="28"/>
        </w:rPr>
        <w:t xml:space="preserve"> </w:t>
      </w:r>
      <w:r w:rsidRPr="00E81768">
        <w:rPr>
          <w:sz w:val="28"/>
          <w:szCs w:val="28"/>
        </w:rPr>
        <w:t xml:space="preserve">and </w:t>
      </w:r>
      <w:r w:rsidR="004F3EE3">
        <w:rPr>
          <w:sz w:val="28"/>
          <w:szCs w:val="28"/>
        </w:rPr>
        <w:t xml:space="preserve">robust </w:t>
      </w:r>
      <w:r w:rsidRPr="00E81768">
        <w:rPr>
          <w:sz w:val="28"/>
          <w:szCs w:val="28"/>
        </w:rPr>
        <w:t xml:space="preserve">outcome tracking. </w:t>
      </w:r>
    </w:p>
    <w:p w14:paraId="541A6AE0" w14:textId="77777777" w:rsidR="0043663C" w:rsidRDefault="00000000">
      <w:pPr>
        <w:rPr>
          <w:sz w:val="28"/>
          <w:szCs w:val="28"/>
        </w:rPr>
      </w:pPr>
      <w:r w:rsidRPr="00E81768">
        <w:rPr>
          <w:sz w:val="28"/>
          <w:szCs w:val="28"/>
        </w:rPr>
        <w:t>Powell Recovery Center would welcome the opportunity to work with the Committee, the Baltimore City Health Department, Behavioral Health System Baltimore, the Maryland Behavioral Health Administration, and community partners on practical standards for quality, transparency, and life-saving intervention.</w:t>
      </w:r>
    </w:p>
    <w:p w14:paraId="0E096E81" w14:textId="77777777" w:rsidR="00E81768" w:rsidRPr="00E81768" w:rsidRDefault="00E81768" w:rsidP="00E81768">
      <w:pPr>
        <w:rPr>
          <w:sz w:val="28"/>
          <w:szCs w:val="28"/>
        </w:rPr>
      </w:pPr>
    </w:p>
    <w:p w14:paraId="61B55FCE" w14:textId="77777777" w:rsidR="00E81768" w:rsidRPr="00E81768" w:rsidRDefault="00E81768" w:rsidP="00E81768">
      <w:pPr>
        <w:rPr>
          <w:sz w:val="28"/>
          <w:szCs w:val="28"/>
        </w:rPr>
      </w:pPr>
    </w:p>
    <w:sectPr w:rsidR="00E81768" w:rsidRPr="00E81768" w:rsidSect="00034616">
      <w:footerReference w:type="default" r:id="rId9"/>
      <w:pgSz w:w="12240" w:h="15840"/>
      <w:pgMar w:top="792" w:right="1080" w:bottom="79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877C8" w14:textId="77777777" w:rsidR="00CE50E8" w:rsidRDefault="00CE50E8">
      <w:pPr>
        <w:spacing w:after="0" w:line="240" w:lineRule="auto"/>
      </w:pPr>
      <w:r>
        <w:separator/>
      </w:r>
    </w:p>
  </w:endnote>
  <w:endnote w:type="continuationSeparator" w:id="0">
    <w:p w14:paraId="009D0B42" w14:textId="77777777" w:rsidR="00CE50E8" w:rsidRDefault="00CE5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E3018" w14:textId="4D24F9BD" w:rsidR="0043663C" w:rsidRDefault="00000000" w:rsidP="00E81768">
    <w:pPr>
      <w:pStyle w:val="Footer"/>
    </w:pPr>
    <w:r>
      <w:rPr>
        <w:color w:val="707070"/>
        <w:sz w:val="16"/>
      </w:rPr>
      <w:t>Powell Recovery Center, Inc. | Written Testimony | LO25-0024</w:t>
    </w:r>
    <w:r w:rsidR="00E81768">
      <w:rPr>
        <w:color w:val="707070"/>
        <w:sz w:val="16"/>
      </w:rPr>
      <w:tab/>
    </w:r>
    <w:r w:rsidR="00E81768">
      <w:rPr>
        <w:color w:val="707070"/>
        <w:sz w:val="16"/>
      </w:rPr>
      <w:tab/>
    </w:r>
    <w:r w:rsidR="00E81768" w:rsidRPr="00E81768">
      <w:rPr>
        <w:color w:val="707070"/>
        <w:sz w:val="16"/>
      </w:rPr>
      <w:t xml:space="preserve">Page </w:t>
    </w:r>
    <w:r w:rsidR="00E81768" w:rsidRPr="00E81768">
      <w:rPr>
        <w:b/>
        <w:bCs/>
        <w:color w:val="707070"/>
        <w:sz w:val="16"/>
      </w:rPr>
      <w:fldChar w:fldCharType="begin"/>
    </w:r>
    <w:r w:rsidR="00E81768" w:rsidRPr="00E81768">
      <w:rPr>
        <w:b/>
        <w:bCs/>
        <w:color w:val="707070"/>
        <w:sz w:val="16"/>
      </w:rPr>
      <w:instrText xml:space="preserve"> PAGE  \* Arabic  \* MERGEFORMAT </w:instrText>
    </w:r>
    <w:r w:rsidR="00E81768" w:rsidRPr="00E81768">
      <w:rPr>
        <w:b/>
        <w:bCs/>
        <w:color w:val="707070"/>
        <w:sz w:val="16"/>
      </w:rPr>
      <w:fldChar w:fldCharType="separate"/>
    </w:r>
    <w:r w:rsidR="00E81768" w:rsidRPr="00E81768">
      <w:rPr>
        <w:b/>
        <w:bCs/>
        <w:noProof/>
        <w:color w:val="707070"/>
        <w:sz w:val="16"/>
      </w:rPr>
      <w:t>1</w:t>
    </w:r>
    <w:r w:rsidR="00E81768" w:rsidRPr="00E81768">
      <w:rPr>
        <w:b/>
        <w:bCs/>
        <w:color w:val="707070"/>
        <w:sz w:val="16"/>
      </w:rPr>
      <w:fldChar w:fldCharType="end"/>
    </w:r>
    <w:r w:rsidR="00E81768" w:rsidRPr="00E81768">
      <w:rPr>
        <w:color w:val="707070"/>
        <w:sz w:val="16"/>
      </w:rPr>
      <w:t xml:space="preserve"> of </w:t>
    </w:r>
    <w:r w:rsidR="00E81768" w:rsidRPr="00E81768">
      <w:rPr>
        <w:b/>
        <w:bCs/>
        <w:color w:val="707070"/>
        <w:sz w:val="16"/>
      </w:rPr>
      <w:fldChar w:fldCharType="begin"/>
    </w:r>
    <w:r w:rsidR="00E81768" w:rsidRPr="00E81768">
      <w:rPr>
        <w:b/>
        <w:bCs/>
        <w:color w:val="707070"/>
        <w:sz w:val="16"/>
      </w:rPr>
      <w:instrText xml:space="preserve"> NUMPAGES  \* Arabic  \* MERGEFORMAT </w:instrText>
    </w:r>
    <w:r w:rsidR="00E81768" w:rsidRPr="00E81768">
      <w:rPr>
        <w:b/>
        <w:bCs/>
        <w:color w:val="707070"/>
        <w:sz w:val="16"/>
      </w:rPr>
      <w:fldChar w:fldCharType="separate"/>
    </w:r>
    <w:r w:rsidR="00E81768" w:rsidRPr="00E81768">
      <w:rPr>
        <w:b/>
        <w:bCs/>
        <w:noProof/>
        <w:color w:val="707070"/>
        <w:sz w:val="16"/>
      </w:rPr>
      <w:t>2</w:t>
    </w:r>
    <w:r w:rsidR="00E81768" w:rsidRPr="00E81768">
      <w:rPr>
        <w:b/>
        <w:bCs/>
        <w:color w:val="70707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3B20A" w14:textId="77777777" w:rsidR="00CE50E8" w:rsidRDefault="00CE50E8">
      <w:pPr>
        <w:spacing w:after="0" w:line="240" w:lineRule="auto"/>
      </w:pPr>
      <w:r>
        <w:separator/>
      </w:r>
    </w:p>
  </w:footnote>
  <w:footnote w:type="continuationSeparator" w:id="0">
    <w:p w14:paraId="1621330A" w14:textId="77777777" w:rsidR="00CE50E8" w:rsidRDefault="00CE50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8D43844"/>
    <w:multiLevelType w:val="hybridMultilevel"/>
    <w:tmpl w:val="89D6681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544446138">
    <w:abstractNumId w:val="8"/>
  </w:num>
  <w:num w:numId="2" w16cid:durableId="309749151">
    <w:abstractNumId w:val="6"/>
  </w:num>
  <w:num w:numId="3" w16cid:durableId="1784303224">
    <w:abstractNumId w:val="5"/>
  </w:num>
  <w:num w:numId="4" w16cid:durableId="450053320">
    <w:abstractNumId w:val="4"/>
  </w:num>
  <w:num w:numId="5" w16cid:durableId="625964299">
    <w:abstractNumId w:val="7"/>
  </w:num>
  <w:num w:numId="6" w16cid:durableId="720128970">
    <w:abstractNumId w:val="3"/>
  </w:num>
  <w:num w:numId="7" w16cid:durableId="566191377">
    <w:abstractNumId w:val="2"/>
  </w:num>
  <w:num w:numId="8" w16cid:durableId="1775248463">
    <w:abstractNumId w:val="1"/>
  </w:num>
  <w:num w:numId="9" w16cid:durableId="1931884294">
    <w:abstractNumId w:val="0"/>
  </w:num>
  <w:num w:numId="10" w16cid:durableId="7523634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66A2"/>
    <w:rsid w:val="0015074B"/>
    <w:rsid w:val="00222DFD"/>
    <w:rsid w:val="0029639D"/>
    <w:rsid w:val="00326F90"/>
    <w:rsid w:val="00376699"/>
    <w:rsid w:val="0043663C"/>
    <w:rsid w:val="004F3EE3"/>
    <w:rsid w:val="005F6105"/>
    <w:rsid w:val="006C4B6A"/>
    <w:rsid w:val="007D7C02"/>
    <w:rsid w:val="009A04D5"/>
    <w:rsid w:val="00AA1D8D"/>
    <w:rsid w:val="00AE5174"/>
    <w:rsid w:val="00B47730"/>
    <w:rsid w:val="00C24177"/>
    <w:rsid w:val="00CB0664"/>
    <w:rsid w:val="00CE50E8"/>
    <w:rsid w:val="00E81768"/>
    <w:rsid w:val="00F3269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239379"/>
  <w14:defaultImageDpi w14:val="300"/>
  <w15:docId w15:val="{FC78D521-9BBE-4DA4-87D3-616EAEAA8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2" w:lineRule="auto"/>
    </w:pPr>
    <w:rPr>
      <w:rFonts w:ascii="Aptos" w:eastAsia="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RCTitle">
    <w:name w:val="PRC Title"/>
    <w:rPr>
      <w:rFonts w:ascii="Aptos" w:eastAsia="Aptos" w:hAnsi="Aptos"/>
      <w:b/>
      <w:color w:val="1F4E79"/>
      <w:sz w:val="28"/>
    </w:rPr>
  </w:style>
  <w:style w:type="paragraph" w:customStyle="1" w:styleId="PRCSubtitle">
    <w:name w:val="PRC Subtitle"/>
    <w:rPr>
      <w:rFonts w:ascii="Aptos" w:eastAsia="Aptos" w:hAnsi="Aptos"/>
      <w:color w:val="40404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448</Words>
  <Characters>2786</Characters>
  <Application>Microsoft Office Word</Application>
  <DocSecurity>0</DocSecurity>
  <Lines>62</Lines>
  <Paragraphs>28</Paragraphs>
  <ScaleCrop>false</ScaleCrop>
  <HeadingPairs>
    <vt:vector size="2" baseType="variant">
      <vt:variant>
        <vt:lpstr>Title</vt:lpstr>
      </vt:variant>
      <vt:variant>
        <vt:i4>1</vt:i4>
      </vt:variant>
    </vt:vector>
  </HeadingPairs>
  <TitlesOfParts>
    <vt:vector size="1" baseType="lpstr">
      <vt:lpstr>Powell Recovery Center Written Testimony - LO25-0024</vt:lpstr>
    </vt:vector>
  </TitlesOfParts>
  <Manager/>
  <Company/>
  <LinksUpToDate>false</LinksUpToDate>
  <CharactersWithSpaces>3221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Powell Recovery Center Written Testimony - LO25-0024</dc:title>
  <dc:subject>Oversight of Recovery Homes and Substance Abuse Clinics in Baltimore City</dc:subject>
  <dc:creator>Powell Recovery Center, Inc.</dc:creator>
  <cp:keywords/>
  <dc:description>Prepared for submission to the Baltimore City Council Public Health &amp; Environment Committee.</dc:description>
  <cp:lastModifiedBy>Currin, Marguerite (City Council)</cp:lastModifiedBy>
  <cp:revision>3</cp:revision>
  <dcterms:created xsi:type="dcterms:W3CDTF">2026-04-30T15:51:00Z</dcterms:created>
  <dcterms:modified xsi:type="dcterms:W3CDTF">2026-04-30T15:51:00Z</dcterms:modified>
  <cp:category/>
</cp:coreProperties>
</file>