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AB073" w14:textId="77777777" w:rsidR="008F76D2" w:rsidRDefault="008F76D2" w:rsidP="008F76D2">
      <w:pPr>
        <w:rPr>
          <w:b/>
          <w:bCs/>
        </w:rPr>
      </w:pPr>
    </w:p>
    <w:p w14:paraId="0739787B" w14:textId="77777777" w:rsidR="008F76D2" w:rsidRDefault="008F76D2" w:rsidP="008F76D2">
      <w:pPr>
        <w:rPr>
          <w:b/>
          <w:bCs/>
        </w:rPr>
      </w:pPr>
    </w:p>
    <w:p w14:paraId="0F3C1F77" w14:textId="3B5000BF" w:rsidR="008F76D2" w:rsidRPr="008F76D2" w:rsidRDefault="008F76D2" w:rsidP="008F76D2">
      <w:pPr>
        <w:rPr>
          <w:b/>
          <w:bCs/>
        </w:rPr>
      </w:pPr>
      <w:r w:rsidRPr="008F76D2">
        <w:rPr>
          <w:b/>
          <w:bCs/>
        </w:rPr>
        <w:t>Introduction</w:t>
      </w:r>
    </w:p>
    <w:p w14:paraId="108FC724" w14:textId="77777777" w:rsidR="008F76D2" w:rsidRPr="008F76D2" w:rsidRDefault="008F76D2" w:rsidP="008F76D2">
      <w:r w:rsidRPr="008F76D2">
        <w:t>Thank you for your review of LO25-0024, Oversight of Recovery Homes and Substance Abuse Clinics in Baltimore City.</w:t>
      </w:r>
    </w:p>
    <w:p w14:paraId="76D75850" w14:textId="77777777" w:rsidR="008F76D2" w:rsidRPr="008F76D2" w:rsidRDefault="008F76D2" w:rsidP="008F76D2">
      <w:r w:rsidRPr="008F76D2">
        <w:t>This hearing is necessary, urgent, and long overdue. For years, community leaders, residents, and neighborhood organizations have raised serious concerns about the rapid proliferation of recovery homes and substance abuse clinics across Baltimore City—particularly in communities that have already borne the weight of disinvestment, instability, and limited public investment. These concerns are neither anecdotal nor isolated; they reflect a broader pattern that warrants public scrutiny, stronger oversight, and meaningful accountability.</w:t>
      </w:r>
    </w:p>
    <w:p w14:paraId="3E63E3A8" w14:textId="77777777" w:rsidR="008F76D2" w:rsidRPr="008F76D2" w:rsidRDefault="008F76D2" w:rsidP="008F76D2">
      <w:pPr>
        <w:rPr>
          <w:b/>
          <w:bCs/>
        </w:rPr>
      </w:pPr>
      <w:r w:rsidRPr="008F76D2">
        <w:rPr>
          <w:b/>
          <w:bCs/>
        </w:rPr>
        <w:t>Purpose of the Hearing</w:t>
      </w:r>
    </w:p>
    <w:p w14:paraId="192181C5" w14:textId="77777777" w:rsidR="008F76D2" w:rsidRPr="008F76D2" w:rsidRDefault="008F76D2" w:rsidP="008F76D2">
      <w:r w:rsidRPr="008F76D2">
        <w:t>The purpose of this hearing is to determine whether these facilities are effectively supporting individuals on their path to recovery and whether the current regulatory framework adequately protects both residents and surrounding neighborhoods. Recovery support is essential—but support without oversight is insufficient. Facilities intended to promote healing must operate with transparency, safety, and full compliance. The City must ensure that providers meet high standards of care, are held accountable, and that services are distributed equitably rather than concentrated in communities least equipped to absorb their impact.</w:t>
      </w:r>
    </w:p>
    <w:p w14:paraId="357C1EF6" w14:textId="77777777" w:rsidR="008F76D2" w:rsidRPr="008F76D2" w:rsidRDefault="008F76D2" w:rsidP="008F76D2">
      <w:pPr>
        <w:rPr>
          <w:b/>
          <w:bCs/>
        </w:rPr>
      </w:pPr>
      <w:r w:rsidRPr="008F76D2">
        <w:rPr>
          <w:b/>
          <w:bCs/>
        </w:rPr>
        <w:t>Centering Community Voices</w:t>
      </w:r>
    </w:p>
    <w:p w14:paraId="75BC8646" w14:textId="77777777" w:rsidR="008F76D2" w:rsidRPr="008F76D2" w:rsidRDefault="008F76D2" w:rsidP="008F76D2">
      <w:r w:rsidRPr="008F76D2">
        <w:t>Community voices must be central to this process. Residents living near these facilities deserve the opportunity to speak directly about their experiences, including concerns related to safety, environmental conditions, traffic, loitering, parking, sanitation strain, and overall neighborhood disruption. Effective policy cannot be developed without listening to those most directly affected. Their lived experiences should inform enforcement priorities, shape policy responses, and guide future oversight efforts.</w:t>
      </w:r>
    </w:p>
    <w:p w14:paraId="5C783380" w14:textId="77777777" w:rsidR="008F76D2" w:rsidRPr="008F76D2" w:rsidRDefault="008F76D2" w:rsidP="008F76D2">
      <w:pPr>
        <w:rPr>
          <w:b/>
          <w:bCs/>
        </w:rPr>
      </w:pPr>
      <w:r w:rsidRPr="008F76D2">
        <w:rPr>
          <w:b/>
          <w:bCs/>
        </w:rPr>
        <w:t>Data Transparency and Accuracy</w:t>
      </w:r>
    </w:p>
    <w:p w14:paraId="0A5C89F3" w14:textId="77777777" w:rsidR="008F76D2" w:rsidRPr="008F76D2" w:rsidRDefault="008F76D2" w:rsidP="008F76D2">
      <w:r w:rsidRPr="008F76D2">
        <w:t xml:space="preserve">It is equally critical that the City move beyond incomplete data and assumptions. Facilities operating with limited transparency or outside consistently monitored systems can evade accurate tracking, resulting in an incomplete understanding of their number, location, and </w:t>
      </w:r>
      <w:r w:rsidRPr="008F76D2">
        <w:lastRenderedPageBreak/>
        <w:t>impact. Public health, safety, and neighborhood stability require decisions grounded in complete and current information—not partial or outdated records.</w:t>
      </w:r>
    </w:p>
    <w:p w14:paraId="1B24D797" w14:textId="1B7F828D" w:rsidR="008F76D2" w:rsidRPr="008F76D2" w:rsidRDefault="008F76D2" w:rsidP="008F76D2">
      <w:pPr>
        <w:rPr>
          <w:b/>
          <w:bCs/>
        </w:rPr>
      </w:pPr>
      <w:r w:rsidRPr="008F76D2">
        <w:rPr>
          <w:b/>
          <w:bCs/>
        </w:rPr>
        <w:t>Strengthening Oversight and Compliance</w:t>
      </w:r>
    </w:p>
    <w:p w14:paraId="6F6F8B0D" w14:textId="77777777" w:rsidR="008F76D2" w:rsidRPr="008F76D2" w:rsidRDefault="008F76D2" w:rsidP="008F76D2">
      <w:r w:rsidRPr="008F76D2">
        <w:t>Accordingly, taxpayers should have access to a comprehensive, regularly updated public registry of all licensed recovery homes and substance abuse clinics. This registry should serve as a baseline for identifying unregistered or noncompliant facilities. The City and State should conduct routine inspections and site verification to ensure compliance with all applicable standards. Expanding the number of compliance officers is essential to strengthen oversight, improve responsiveness, and ensure violations are promptly addressed. Unannounced inspections should be a standard enforcement tool, not an exception.</w:t>
      </w:r>
    </w:p>
    <w:p w14:paraId="253671B4" w14:textId="77777777" w:rsidR="008F76D2" w:rsidRPr="008F76D2" w:rsidRDefault="008F76D2" w:rsidP="008F76D2">
      <w:pPr>
        <w:rPr>
          <w:b/>
          <w:bCs/>
        </w:rPr>
      </w:pPr>
      <w:r w:rsidRPr="008F76D2">
        <w:rPr>
          <w:b/>
          <w:bCs/>
        </w:rPr>
        <w:t>Standardized Community Engagement and Data Collection</w:t>
      </w:r>
    </w:p>
    <w:p w14:paraId="34B4C329" w14:textId="77777777" w:rsidR="008F76D2" w:rsidRPr="008F76D2" w:rsidRDefault="008F76D2" w:rsidP="008F76D2">
      <w:r w:rsidRPr="008F76D2">
        <w:t>The City should also require each Council district to engage residents using a standardized set of questions regarding the presence and impact of these facilities. This approach would ensure consistent data collection and equitable opportunities for community input across Baltimore. Additionally, disaggregated data by neighborhood and district should be made publicly available, including concentrations of facilities and associated 311 service requests. This transparency would allow for objective evaluation of patterns related to complaints, enforcement, and resource allocation.</w:t>
      </w:r>
    </w:p>
    <w:p w14:paraId="15AFBB49" w14:textId="77777777" w:rsidR="008F76D2" w:rsidRPr="008F76D2" w:rsidRDefault="008F76D2" w:rsidP="008F76D2">
      <w:pPr>
        <w:rPr>
          <w:b/>
          <w:bCs/>
        </w:rPr>
      </w:pPr>
      <w:r w:rsidRPr="008F76D2">
        <w:rPr>
          <w:b/>
          <w:bCs/>
        </w:rPr>
        <w:t>Neighborhood Impact and Land Use Concerns</w:t>
      </w:r>
    </w:p>
    <w:p w14:paraId="11B0ACA0" w14:textId="77777777" w:rsidR="008F76D2" w:rsidRPr="008F76D2" w:rsidRDefault="008F76D2" w:rsidP="008F76D2">
      <w:r w:rsidRPr="008F76D2">
        <w:t>The City must also consider the unintended consequences of the commercialization of residential properties. When homes are converted into high-turnover facilities, they can alter the character of residential blocks, strain neighbor relationships, and increase density in ways that residents were never meaningfully consulted on. These impacts extend beyond individual properties, affecting parking availability, sanitation services, noise levels, pedestrian traffic, and the overall capacity of neighborhood infrastructure.</w:t>
      </w:r>
    </w:p>
    <w:p w14:paraId="41DB2614" w14:textId="77777777" w:rsidR="008F76D2" w:rsidRPr="008F76D2" w:rsidRDefault="008F76D2" w:rsidP="008F76D2">
      <w:pPr>
        <w:rPr>
          <w:b/>
          <w:bCs/>
        </w:rPr>
      </w:pPr>
      <w:r w:rsidRPr="008F76D2">
        <w:rPr>
          <w:b/>
          <w:bCs/>
        </w:rPr>
        <w:t>State and Federal Policy Considerations</w:t>
      </w:r>
    </w:p>
    <w:p w14:paraId="0F50B0B3" w14:textId="77777777" w:rsidR="008F76D2" w:rsidRPr="008F76D2" w:rsidRDefault="008F76D2" w:rsidP="008F76D2">
      <w:r w:rsidRPr="008F76D2">
        <w:t>Given these broader implications, Baltimore should also advocate for stronger state and federal policy frameworks. Local government alone cannot fully address this issue when broader regulations—such as those tied to ADA compliance—shape where facilities locate, how they operate, and what oversight applies. Clearer standards are needed to balance access to recovery services with neighborhood stability, strengthen enforcement authority, and prevent the disproportionate concentration of facilities in vulnerable communities.</w:t>
      </w:r>
    </w:p>
    <w:p w14:paraId="259777EE" w14:textId="77777777" w:rsidR="008F76D2" w:rsidRPr="008F76D2" w:rsidRDefault="008F76D2" w:rsidP="008F76D2">
      <w:pPr>
        <w:rPr>
          <w:b/>
          <w:bCs/>
        </w:rPr>
      </w:pPr>
      <w:r w:rsidRPr="008F76D2">
        <w:rPr>
          <w:b/>
          <w:bCs/>
        </w:rPr>
        <w:lastRenderedPageBreak/>
        <w:t>Equity and Fair Distribution</w:t>
      </w:r>
    </w:p>
    <w:p w14:paraId="3EE0A214" w14:textId="77777777" w:rsidR="008F76D2" w:rsidRPr="008F76D2" w:rsidRDefault="008F76D2" w:rsidP="008F76D2">
      <w:r w:rsidRPr="008F76D2">
        <w:t>It is especially important to acknowledge that covenant-protected communities have not experienced the same concentration of these facilities. This uneven distribution reinforces longstanding racial and economic inequities by placing a disproportionate burden on neighborhoods that have historically been denied investment, voice, and protection. This is not solely a land use issue—it is a matter of equity and fairness.</w:t>
      </w:r>
    </w:p>
    <w:p w14:paraId="4AB6B115" w14:textId="77777777" w:rsidR="008F76D2" w:rsidRPr="008F76D2" w:rsidRDefault="008F76D2" w:rsidP="008F76D2">
      <w:pPr>
        <w:rPr>
          <w:b/>
          <w:bCs/>
        </w:rPr>
      </w:pPr>
      <w:r w:rsidRPr="008F76D2">
        <w:rPr>
          <w:b/>
          <w:bCs/>
        </w:rPr>
        <w:t>Program Outcomes and Accountability</w:t>
      </w:r>
    </w:p>
    <w:p w14:paraId="5DB447F9" w14:textId="77777777" w:rsidR="008F76D2" w:rsidRPr="008F76D2" w:rsidRDefault="008F76D2" w:rsidP="008F76D2">
      <w:r w:rsidRPr="008F76D2">
        <w:t>Finally, the City must evaluate not just the presence of these programs, but their outcomes. Are they improving long-term recovery, supporting public health, and strengthening neighborhoods? Effective programs should demonstrate measurable success. Where outcomes fall short or harms emerge, the City has a responsibility to act.</w:t>
      </w:r>
    </w:p>
    <w:p w14:paraId="6839F106" w14:textId="77777777" w:rsidR="008F76D2" w:rsidRPr="008F76D2" w:rsidRDefault="008F76D2" w:rsidP="008F76D2">
      <w:pPr>
        <w:rPr>
          <w:b/>
          <w:bCs/>
        </w:rPr>
      </w:pPr>
      <w:r w:rsidRPr="008F76D2">
        <w:rPr>
          <w:b/>
          <w:bCs/>
        </w:rPr>
        <w:t>Conclusion</w:t>
      </w:r>
    </w:p>
    <w:p w14:paraId="11E05DA8" w14:textId="77777777" w:rsidR="008F76D2" w:rsidRDefault="008F76D2" w:rsidP="008F76D2">
      <w:r w:rsidRPr="008F76D2">
        <w:t>Baltimore residents deserve a recovery system that is compassionate, effective, and accountable. They also deserve neighborhoods protected from unchecked expansion, weak enforcement, and opaque decision-making. This hearing should serve as a catalyst for stronger oversight, better data, expanded compliance capacity, and a commitment to ensuring that community voices are central—not optional—in decisions that shape their quality of life.</w:t>
      </w:r>
    </w:p>
    <w:p w14:paraId="6C3D9685" w14:textId="7BE7B91A" w:rsidR="008F76D2" w:rsidRDefault="008F76D2" w:rsidP="008F76D2">
      <w:r>
        <w:t>Sincerely,</w:t>
      </w:r>
    </w:p>
    <w:p w14:paraId="5625401E" w14:textId="46FE5B12" w:rsidR="008F76D2" w:rsidRPr="008F76D2" w:rsidRDefault="008F76D2" w:rsidP="008F76D2">
      <w:pPr>
        <w:rPr>
          <w:rFonts w:ascii="Lucida Handwriting" w:hAnsi="Lucida Handwriting"/>
          <w:b/>
          <w:bCs/>
        </w:rPr>
      </w:pPr>
      <w:r w:rsidRPr="008F76D2">
        <w:rPr>
          <w:rFonts w:ascii="Lucida Handwriting" w:hAnsi="Lucida Handwriting"/>
          <w:b/>
          <w:bCs/>
        </w:rPr>
        <w:t>Linda Lynn Batts</w:t>
      </w:r>
    </w:p>
    <w:p w14:paraId="6724FAE8" w14:textId="51433CC7" w:rsidR="008F76D2" w:rsidRPr="008F76D2" w:rsidRDefault="008F76D2" w:rsidP="008F76D2">
      <w:r>
        <w:t>Linda Lynn Batts</w:t>
      </w:r>
    </w:p>
    <w:p w14:paraId="7D0AADC1" w14:textId="77777777" w:rsidR="008F76D2" w:rsidRDefault="008F76D2"/>
    <w:sectPr w:rsidR="008F76D2" w:rsidSect="008F76D2">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CA01" w14:textId="77777777" w:rsidR="00926B05" w:rsidRDefault="00926B05" w:rsidP="008F76D2">
      <w:pPr>
        <w:spacing w:after="0" w:line="240" w:lineRule="auto"/>
      </w:pPr>
      <w:r>
        <w:separator/>
      </w:r>
    </w:p>
  </w:endnote>
  <w:endnote w:type="continuationSeparator" w:id="0">
    <w:p w14:paraId="1CEE885B" w14:textId="77777777" w:rsidR="00926B05" w:rsidRDefault="00926B05" w:rsidP="008F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093077"/>
      <w:docPartObj>
        <w:docPartGallery w:val="Page Numbers (Bottom of Page)"/>
        <w:docPartUnique/>
      </w:docPartObj>
    </w:sdtPr>
    <w:sdtEndPr>
      <w:rPr>
        <w:noProof/>
      </w:rPr>
    </w:sdtEndPr>
    <w:sdtContent>
      <w:p w14:paraId="4512A969" w14:textId="4DFE719F" w:rsidR="008F76D2" w:rsidRDefault="008F76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5D7FA8" w14:textId="77777777" w:rsidR="008F76D2" w:rsidRDefault="008F7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D0B47" w14:textId="77777777" w:rsidR="00926B05" w:rsidRDefault="00926B05" w:rsidP="008F76D2">
      <w:pPr>
        <w:spacing w:after="0" w:line="240" w:lineRule="auto"/>
      </w:pPr>
      <w:r>
        <w:separator/>
      </w:r>
    </w:p>
  </w:footnote>
  <w:footnote w:type="continuationSeparator" w:id="0">
    <w:p w14:paraId="676F385E" w14:textId="77777777" w:rsidR="00926B05" w:rsidRDefault="00926B05" w:rsidP="008F76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6D2"/>
    <w:rsid w:val="00062996"/>
    <w:rsid w:val="002000AB"/>
    <w:rsid w:val="002658CE"/>
    <w:rsid w:val="005A6DAC"/>
    <w:rsid w:val="008F76D2"/>
    <w:rsid w:val="00926B05"/>
    <w:rsid w:val="00A30127"/>
    <w:rsid w:val="00A37D4D"/>
    <w:rsid w:val="00F90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44DD"/>
  <w15:chartTrackingRefBased/>
  <w15:docId w15:val="{FF92D8D3-EFF1-4B13-A02D-13824671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6D2"/>
    <w:rPr>
      <w:rFonts w:eastAsiaTheme="majorEastAsia" w:cstheme="majorBidi"/>
      <w:color w:val="272727" w:themeColor="text1" w:themeTint="D8"/>
    </w:rPr>
  </w:style>
  <w:style w:type="paragraph" w:styleId="Title">
    <w:name w:val="Title"/>
    <w:basedOn w:val="Normal"/>
    <w:next w:val="Normal"/>
    <w:link w:val="TitleChar"/>
    <w:uiPriority w:val="10"/>
    <w:qFormat/>
    <w:rsid w:val="008F7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6D2"/>
    <w:pPr>
      <w:spacing w:before="160"/>
      <w:jc w:val="center"/>
    </w:pPr>
    <w:rPr>
      <w:i/>
      <w:iCs/>
      <w:color w:val="404040" w:themeColor="text1" w:themeTint="BF"/>
    </w:rPr>
  </w:style>
  <w:style w:type="character" w:customStyle="1" w:styleId="QuoteChar">
    <w:name w:val="Quote Char"/>
    <w:basedOn w:val="DefaultParagraphFont"/>
    <w:link w:val="Quote"/>
    <w:uiPriority w:val="29"/>
    <w:rsid w:val="008F76D2"/>
    <w:rPr>
      <w:i/>
      <w:iCs/>
      <w:color w:val="404040" w:themeColor="text1" w:themeTint="BF"/>
    </w:rPr>
  </w:style>
  <w:style w:type="paragraph" w:styleId="ListParagraph">
    <w:name w:val="List Paragraph"/>
    <w:basedOn w:val="Normal"/>
    <w:uiPriority w:val="34"/>
    <w:qFormat/>
    <w:rsid w:val="008F76D2"/>
    <w:pPr>
      <w:ind w:left="720"/>
      <w:contextualSpacing/>
    </w:pPr>
  </w:style>
  <w:style w:type="character" w:styleId="IntenseEmphasis">
    <w:name w:val="Intense Emphasis"/>
    <w:basedOn w:val="DefaultParagraphFont"/>
    <w:uiPriority w:val="21"/>
    <w:qFormat/>
    <w:rsid w:val="008F76D2"/>
    <w:rPr>
      <w:i/>
      <w:iCs/>
      <w:color w:val="0F4761" w:themeColor="accent1" w:themeShade="BF"/>
    </w:rPr>
  </w:style>
  <w:style w:type="paragraph" w:styleId="IntenseQuote">
    <w:name w:val="Intense Quote"/>
    <w:basedOn w:val="Normal"/>
    <w:next w:val="Normal"/>
    <w:link w:val="IntenseQuoteChar"/>
    <w:uiPriority w:val="30"/>
    <w:qFormat/>
    <w:rsid w:val="008F7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6D2"/>
    <w:rPr>
      <w:i/>
      <w:iCs/>
      <w:color w:val="0F4761" w:themeColor="accent1" w:themeShade="BF"/>
    </w:rPr>
  </w:style>
  <w:style w:type="character" w:styleId="IntenseReference">
    <w:name w:val="Intense Reference"/>
    <w:basedOn w:val="DefaultParagraphFont"/>
    <w:uiPriority w:val="32"/>
    <w:qFormat/>
    <w:rsid w:val="008F76D2"/>
    <w:rPr>
      <w:b/>
      <w:bCs/>
      <w:smallCaps/>
      <w:color w:val="0F4761" w:themeColor="accent1" w:themeShade="BF"/>
      <w:spacing w:val="5"/>
    </w:rPr>
  </w:style>
  <w:style w:type="paragraph" w:styleId="Header">
    <w:name w:val="header"/>
    <w:basedOn w:val="Normal"/>
    <w:link w:val="HeaderChar"/>
    <w:uiPriority w:val="99"/>
    <w:unhideWhenUsed/>
    <w:rsid w:val="008F7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76D2"/>
  </w:style>
  <w:style w:type="paragraph" w:styleId="Footer">
    <w:name w:val="footer"/>
    <w:basedOn w:val="Normal"/>
    <w:link w:val="FooterChar"/>
    <w:uiPriority w:val="99"/>
    <w:unhideWhenUsed/>
    <w:rsid w:val="008F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905</Words>
  <Characters>5162</Characters>
  <Application>Microsoft Office Word</Application>
  <DocSecurity>4</DocSecurity>
  <Lines>43</Lines>
  <Paragraphs>12</Paragraphs>
  <ScaleCrop>false</ScaleCrop>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Batts</dc:creator>
  <cp:keywords/>
  <dc:description/>
  <cp:lastModifiedBy>Currin, Marguerite (City Council)</cp:lastModifiedBy>
  <cp:revision>2</cp:revision>
  <dcterms:created xsi:type="dcterms:W3CDTF">2026-07-23T16:47:00Z</dcterms:created>
  <dcterms:modified xsi:type="dcterms:W3CDTF">2026-07-23T16:47:00Z</dcterms:modified>
</cp:coreProperties>
</file>