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565" w:rsidRPr="006C6AD7" w:rsidRDefault="00580565" w:rsidP="00580565">
      <w:pPr>
        <w:spacing w:after="0" w:line="240" w:lineRule="auto"/>
        <w:rPr>
          <w:rFonts w:ascii="Times New Roman TUR" w:eastAsia="Times New Roman" w:hAnsi="Times New Roman TUR" w:cs="Times New Roman TUR"/>
          <w:sz w:val="24"/>
          <w:szCs w:val="24"/>
        </w:rPr>
      </w:pPr>
      <w:r w:rsidRPr="006C6AD7">
        <w:rPr>
          <w:rFonts w:ascii="Times New Roman TUR" w:eastAsia="Times New Roman" w:hAnsi="Times New Roman TUR" w:cs="Times New Roman TUR"/>
          <w:sz w:val="24"/>
          <w:szCs w:val="24"/>
        </w:rPr>
        <w:t>Honorable President and Members</w:t>
      </w:r>
      <w:r w:rsidR="004F54BD">
        <w:rPr>
          <w:rFonts w:ascii="Times New Roman TUR" w:eastAsia="Times New Roman" w:hAnsi="Times New Roman TUR" w:cs="Times New Roman TUR"/>
          <w:sz w:val="24"/>
          <w:szCs w:val="24"/>
        </w:rPr>
        <w:t xml:space="preserve">                                            </w:t>
      </w:r>
      <w:r w:rsidR="00024843">
        <w:rPr>
          <w:rFonts w:ascii="Times New Roman TUR" w:eastAsia="Times New Roman" w:hAnsi="Times New Roman TUR" w:cs="Times New Roman TUR"/>
          <w:sz w:val="24"/>
          <w:szCs w:val="24"/>
        </w:rPr>
        <w:t>December</w:t>
      </w:r>
      <w:r w:rsidR="00EA27AB">
        <w:rPr>
          <w:rFonts w:ascii="Times New Roman TUR" w:eastAsia="Times New Roman" w:hAnsi="Times New Roman TUR" w:cs="Times New Roman TUR"/>
          <w:sz w:val="24"/>
          <w:szCs w:val="24"/>
        </w:rPr>
        <w:t xml:space="preserve"> </w:t>
      </w:r>
      <w:r w:rsidR="00024843">
        <w:rPr>
          <w:rFonts w:ascii="Times New Roman TUR" w:eastAsia="Times New Roman" w:hAnsi="Times New Roman TUR" w:cs="Times New Roman TUR"/>
          <w:sz w:val="24"/>
          <w:szCs w:val="24"/>
        </w:rPr>
        <w:t>1</w:t>
      </w:r>
      <w:r w:rsidR="000A487E">
        <w:rPr>
          <w:rFonts w:ascii="Times New Roman TUR" w:eastAsia="Times New Roman" w:hAnsi="Times New Roman TUR" w:cs="Times New Roman TUR"/>
          <w:sz w:val="24"/>
          <w:szCs w:val="24"/>
        </w:rPr>
        <w:t>5</w:t>
      </w:r>
      <w:r w:rsidR="004F54BD">
        <w:rPr>
          <w:rFonts w:ascii="Times New Roman TUR" w:eastAsia="Times New Roman" w:hAnsi="Times New Roman TUR" w:cs="Times New Roman TUR"/>
          <w:sz w:val="24"/>
          <w:szCs w:val="24"/>
        </w:rPr>
        <w:t>, 2021</w:t>
      </w:r>
    </w:p>
    <w:p w:rsidR="00580565" w:rsidRPr="006C6AD7" w:rsidRDefault="00580565" w:rsidP="00580565">
      <w:pPr>
        <w:spacing w:after="0" w:line="240" w:lineRule="auto"/>
        <w:rPr>
          <w:rFonts w:ascii="Times New Roman TUR" w:eastAsia="Times New Roman" w:hAnsi="Times New Roman TUR" w:cs="Times New Roman TUR"/>
          <w:sz w:val="24"/>
          <w:szCs w:val="24"/>
        </w:rPr>
      </w:pPr>
      <w:r w:rsidRPr="006C6AD7">
        <w:rPr>
          <w:rFonts w:ascii="Times New Roman TUR" w:eastAsia="Times New Roman" w:hAnsi="Times New Roman TUR" w:cs="Times New Roman TUR"/>
          <w:sz w:val="24"/>
          <w:szCs w:val="24"/>
        </w:rPr>
        <w:t xml:space="preserve">  of the City Council of </w:t>
      </w:r>
      <w:smartTag w:uri="urn:schemas-microsoft-com:office:smarttags" w:element="place">
        <w:smartTag w:uri="urn:schemas-microsoft-com:office:smarttags" w:element="City">
          <w:r w:rsidRPr="006C6AD7">
            <w:rPr>
              <w:rFonts w:ascii="Times New Roman TUR" w:eastAsia="Times New Roman" w:hAnsi="Times New Roman TUR" w:cs="Times New Roman TUR"/>
              <w:sz w:val="24"/>
              <w:szCs w:val="24"/>
            </w:rPr>
            <w:t>Baltimore</w:t>
          </w:r>
        </w:smartTag>
      </w:smartTag>
    </w:p>
    <w:p w:rsidR="00580565" w:rsidRPr="006C6AD7" w:rsidRDefault="00580565" w:rsidP="00580565">
      <w:pPr>
        <w:spacing w:after="0" w:line="240" w:lineRule="auto"/>
        <w:rPr>
          <w:rFonts w:ascii="Times New Roman TUR" w:eastAsia="Times New Roman" w:hAnsi="Times New Roman TUR" w:cs="Times New Roman TUR"/>
          <w:sz w:val="24"/>
          <w:szCs w:val="24"/>
        </w:rPr>
      </w:pPr>
      <w:r w:rsidRPr="006C6AD7">
        <w:rPr>
          <w:rFonts w:ascii="Times New Roman TUR" w:eastAsia="Times New Roman" w:hAnsi="Times New Roman TUR" w:cs="Times New Roman TUR"/>
          <w:sz w:val="24"/>
          <w:szCs w:val="24"/>
        </w:rPr>
        <w:t>c/o Nat</w:t>
      </w:r>
      <w:r w:rsidR="004A6B97">
        <w:rPr>
          <w:rFonts w:ascii="Times New Roman TUR" w:eastAsia="Times New Roman" w:hAnsi="Times New Roman TUR" w:cs="Times New Roman TUR"/>
          <w:sz w:val="24"/>
          <w:szCs w:val="24"/>
        </w:rPr>
        <w:t>a</w:t>
      </w:r>
      <w:r w:rsidRPr="006C6AD7">
        <w:rPr>
          <w:rFonts w:ascii="Times New Roman TUR" w:eastAsia="Times New Roman" w:hAnsi="Times New Roman TUR" w:cs="Times New Roman TUR"/>
          <w:sz w:val="24"/>
          <w:szCs w:val="24"/>
        </w:rPr>
        <w:t>wna Austin, Executive Secretary</w:t>
      </w:r>
    </w:p>
    <w:p w:rsidR="00580565" w:rsidRPr="006C6AD7" w:rsidRDefault="00580565" w:rsidP="00580565">
      <w:pPr>
        <w:spacing w:after="0" w:line="240" w:lineRule="auto"/>
        <w:rPr>
          <w:rFonts w:ascii="Times New Roman TUR" w:eastAsia="Times New Roman" w:hAnsi="Times New Roman TUR" w:cs="Times New Roman TUR"/>
          <w:sz w:val="24"/>
          <w:szCs w:val="24"/>
        </w:rPr>
      </w:pPr>
      <w:r w:rsidRPr="006C6AD7">
        <w:rPr>
          <w:rFonts w:ascii="Times New Roman TUR" w:eastAsia="Times New Roman" w:hAnsi="Times New Roman TUR" w:cs="Times New Roman TUR"/>
          <w:sz w:val="24"/>
          <w:szCs w:val="24"/>
        </w:rPr>
        <w:t>Room 409, City Hall</w:t>
      </w:r>
    </w:p>
    <w:p w:rsidR="00580565" w:rsidRPr="006C6AD7" w:rsidRDefault="00580565" w:rsidP="00580565">
      <w:pPr>
        <w:spacing w:after="0" w:line="240" w:lineRule="auto"/>
        <w:rPr>
          <w:rFonts w:ascii="Times New Roman TUR" w:eastAsia="Times New Roman" w:hAnsi="Times New Roman TUR" w:cs="Times New Roman TUR"/>
          <w:sz w:val="24"/>
          <w:szCs w:val="24"/>
        </w:rPr>
      </w:pPr>
      <w:smartTag w:uri="urn:schemas-microsoft-com:office:smarttags" w:element="Street">
        <w:smartTag w:uri="urn:schemas-microsoft-com:office:smarttags" w:element="address">
          <w:r w:rsidRPr="006C6AD7">
            <w:rPr>
              <w:rFonts w:ascii="Times New Roman TUR" w:eastAsia="Times New Roman" w:hAnsi="Times New Roman TUR" w:cs="Times New Roman TUR"/>
              <w:sz w:val="24"/>
              <w:szCs w:val="24"/>
            </w:rPr>
            <w:t>100 N. Holliday Street</w:t>
          </w:r>
        </w:smartTag>
      </w:smartTag>
    </w:p>
    <w:p w:rsidR="00580565" w:rsidRPr="006C6AD7" w:rsidRDefault="00580565" w:rsidP="00580565">
      <w:pPr>
        <w:spacing w:after="0" w:line="240" w:lineRule="auto"/>
        <w:rPr>
          <w:rFonts w:ascii="Times New Roman TUR" w:eastAsia="Times New Roman" w:hAnsi="Times New Roman TUR" w:cs="Times New Roman TUR"/>
          <w:sz w:val="24"/>
          <w:szCs w:val="24"/>
        </w:rPr>
      </w:pPr>
      <w:r w:rsidRPr="006C6AD7">
        <w:rPr>
          <w:rFonts w:ascii="Times New Roman TUR" w:eastAsia="Times New Roman" w:hAnsi="Times New Roman TUR" w:cs="Times New Roman TUR"/>
          <w:sz w:val="24"/>
          <w:szCs w:val="24"/>
        </w:rPr>
        <w:t>Baltimore, Maryland 21202</w:t>
      </w:r>
    </w:p>
    <w:p w:rsidR="00580565" w:rsidRDefault="00580565" w:rsidP="00580565">
      <w:pPr>
        <w:spacing w:after="0" w:line="240" w:lineRule="auto"/>
        <w:rPr>
          <w:rFonts w:ascii="Times New Roman TUR" w:eastAsia="Times New Roman" w:hAnsi="Times New Roman TUR" w:cs="Times New Roman TUR"/>
          <w:sz w:val="24"/>
          <w:szCs w:val="24"/>
        </w:rPr>
      </w:pPr>
    </w:p>
    <w:p w:rsidR="00CD11F7" w:rsidRPr="006C6AD7" w:rsidRDefault="00CD11F7" w:rsidP="00580565">
      <w:pPr>
        <w:spacing w:after="0" w:line="240" w:lineRule="auto"/>
        <w:rPr>
          <w:rFonts w:ascii="Times New Roman TUR" w:eastAsia="Times New Roman" w:hAnsi="Times New Roman TUR" w:cs="Times New Roman TUR"/>
          <w:sz w:val="24"/>
          <w:szCs w:val="24"/>
        </w:rPr>
      </w:pPr>
      <w:r>
        <w:rPr>
          <w:rFonts w:ascii="Times New Roman TUR" w:eastAsia="Times New Roman" w:hAnsi="Times New Roman TUR" w:cs="Times New Roman TUR"/>
          <w:sz w:val="24"/>
          <w:szCs w:val="24"/>
        </w:rPr>
        <w:t xml:space="preserve">              </w:t>
      </w:r>
    </w:p>
    <w:p w:rsidR="00580565" w:rsidRDefault="00580565" w:rsidP="00EA27AB">
      <w:pPr>
        <w:autoSpaceDE w:val="0"/>
        <w:autoSpaceDN w:val="0"/>
        <w:adjustRightInd w:val="0"/>
        <w:spacing w:after="0" w:line="240" w:lineRule="auto"/>
        <w:rPr>
          <w:rFonts w:ascii="Times New Roman TUR" w:eastAsia="Times New Roman" w:hAnsi="Times New Roman TUR" w:cs="Times New Roman TUR"/>
          <w:sz w:val="24"/>
          <w:szCs w:val="24"/>
        </w:rPr>
      </w:pPr>
      <w:r w:rsidRPr="006C6AD7">
        <w:rPr>
          <w:rFonts w:ascii="Times New Roman TUR" w:eastAsia="Times New Roman" w:hAnsi="Times New Roman TUR" w:cs="Times New Roman TUR"/>
          <w:sz w:val="24"/>
          <w:szCs w:val="24"/>
        </w:rPr>
        <w:t xml:space="preserve"> Re:   City Council Bill 21-0</w:t>
      </w:r>
      <w:r w:rsidR="00024843">
        <w:rPr>
          <w:rFonts w:ascii="Times New Roman TUR" w:eastAsia="Times New Roman" w:hAnsi="Times New Roman TUR" w:cs="Times New Roman TUR"/>
          <w:sz w:val="24"/>
          <w:szCs w:val="24"/>
        </w:rPr>
        <w:t>1</w:t>
      </w:r>
      <w:r w:rsidR="000A487E">
        <w:rPr>
          <w:rFonts w:ascii="Times New Roman TUR" w:eastAsia="Times New Roman" w:hAnsi="Times New Roman TUR" w:cs="Times New Roman TUR"/>
          <w:sz w:val="24"/>
          <w:szCs w:val="24"/>
        </w:rPr>
        <w:t>73</w:t>
      </w:r>
      <w:r w:rsidRPr="006C6AD7">
        <w:rPr>
          <w:rFonts w:ascii="Times New Roman TUR" w:eastAsia="Times New Roman" w:hAnsi="Times New Roman TUR" w:cs="Times New Roman TUR"/>
          <w:sz w:val="24"/>
          <w:szCs w:val="24"/>
        </w:rPr>
        <w:t xml:space="preserve">- </w:t>
      </w:r>
      <w:r w:rsidR="000A487E">
        <w:rPr>
          <w:rFonts w:ascii="Times New Roman TUR" w:eastAsia="Times New Roman" w:hAnsi="Times New Roman TUR" w:cs="Times New Roman TUR"/>
          <w:sz w:val="24"/>
          <w:szCs w:val="24"/>
        </w:rPr>
        <w:t>Baltimore City Home Repairs Grant Program</w:t>
      </w:r>
    </w:p>
    <w:p w:rsidR="004F54BD" w:rsidRPr="006C6AD7" w:rsidRDefault="004F54BD" w:rsidP="004F54BD">
      <w:pPr>
        <w:autoSpaceDE w:val="0"/>
        <w:autoSpaceDN w:val="0"/>
        <w:adjustRightInd w:val="0"/>
        <w:spacing w:after="0" w:line="240" w:lineRule="auto"/>
        <w:rPr>
          <w:rFonts w:ascii="Times New Roman TUR" w:eastAsia="Times New Roman" w:hAnsi="Times New Roman TUR" w:cs="Times New Roman TUR"/>
          <w:sz w:val="24"/>
          <w:szCs w:val="24"/>
        </w:rPr>
      </w:pPr>
    </w:p>
    <w:p w:rsidR="00580565" w:rsidRPr="006C6AD7" w:rsidRDefault="00580565" w:rsidP="00580565">
      <w:pPr>
        <w:autoSpaceDE w:val="0"/>
        <w:autoSpaceDN w:val="0"/>
        <w:adjustRightInd w:val="0"/>
        <w:spacing w:after="0" w:line="240" w:lineRule="auto"/>
        <w:rPr>
          <w:rFonts w:ascii="Times New Roman TUR" w:eastAsia="Times New Roman" w:hAnsi="Times New Roman TUR" w:cs="Times New Roman TUR"/>
          <w:sz w:val="24"/>
          <w:szCs w:val="24"/>
        </w:rPr>
      </w:pPr>
      <w:r w:rsidRPr="006C6AD7">
        <w:rPr>
          <w:rFonts w:ascii="Times New Roman TUR" w:eastAsia="Times New Roman" w:hAnsi="Times New Roman TUR" w:cs="Times New Roman TUR"/>
          <w:sz w:val="24"/>
          <w:szCs w:val="24"/>
        </w:rPr>
        <w:t xml:space="preserve"> Dear President and City Council Members:</w:t>
      </w:r>
    </w:p>
    <w:p w:rsidR="00580565" w:rsidRPr="006C6AD7" w:rsidRDefault="00580565" w:rsidP="00580565">
      <w:pPr>
        <w:spacing w:after="0" w:line="240" w:lineRule="auto"/>
        <w:rPr>
          <w:rFonts w:ascii="Times New Roman TUR" w:eastAsia="Times New Roman" w:hAnsi="Times New Roman TUR" w:cs="Times New Roman TUR"/>
          <w:sz w:val="24"/>
          <w:szCs w:val="24"/>
        </w:rPr>
      </w:pPr>
    </w:p>
    <w:p w:rsidR="000A487E" w:rsidRDefault="00580565" w:rsidP="00580565">
      <w:pPr>
        <w:autoSpaceDE w:val="0"/>
        <w:autoSpaceDN w:val="0"/>
        <w:adjustRightInd w:val="0"/>
        <w:spacing w:after="0" w:line="240" w:lineRule="auto"/>
        <w:rPr>
          <w:rFonts w:ascii="TimesNewRomanPSMT" w:eastAsia="Times New Roman" w:hAnsi="TimesNewRomanPSMT" w:cs="TimesNewRomanPSMT"/>
          <w:sz w:val="24"/>
          <w:szCs w:val="24"/>
        </w:rPr>
      </w:pPr>
      <w:r w:rsidRPr="006C6AD7">
        <w:rPr>
          <w:rFonts w:ascii="Times New Roman" w:eastAsia="Times New Roman" w:hAnsi="Times New Roman" w:cs="Times New Roman"/>
          <w:sz w:val="24"/>
          <w:szCs w:val="24"/>
        </w:rPr>
        <w:t xml:space="preserve">           The Law Department has reviewed City Council Bill 21-0</w:t>
      </w:r>
      <w:r w:rsidR="00024843">
        <w:rPr>
          <w:rFonts w:ascii="Times New Roman" w:eastAsia="Times New Roman" w:hAnsi="Times New Roman" w:cs="Times New Roman"/>
          <w:sz w:val="24"/>
          <w:szCs w:val="24"/>
        </w:rPr>
        <w:t>1</w:t>
      </w:r>
      <w:r w:rsidR="000A487E">
        <w:rPr>
          <w:rFonts w:ascii="Times New Roman" w:eastAsia="Times New Roman" w:hAnsi="Times New Roman" w:cs="Times New Roman"/>
          <w:sz w:val="24"/>
          <w:szCs w:val="24"/>
        </w:rPr>
        <w:t>73</w:t>
      </w:r>
      <w:r w:rsidRPr="006C6AD7">
        <w:rPr>
          <w:rFonts w:ascii="Times New Roman" w:eastAsia="Times New Roman" w:hAnsi="Times New Roman" w:cs="Times New Roman"/>
          <w:sz w:val="24"/>
          <w:szCs w:val="24"/>
        </w:rPr>
        <w:t xml:space="preserve"> for form and legal sufficiency.  This</w:t>
      </w:r>
      <w:r w:rsidR="00024843">
        <w:rPr>
          <w:rFonts w:ascii="Times New Roman" w:eastAsia="Times New Roman" w:hAnsi="Times New Roman" w:cs="Times New Roman"/>
          <w:sz w:val="24"/>
          <w:szCs w:val="24"/>
        </w:rPr>
        <w:t xml:space="preserve"> bill </w:t>
      </w:r>
      <w:r w:rsidRPr="006C6AD7">
        <w:rPr>
          <w:rFonts w:ascii="Times New Roman" w:eastAsia="Times New Roman" w:hAnsi="Times New Roman" w:cs="Times New Roman"/>
          <w:sz w:val="24"/>
          <w:szCs w:val="24"/>
        </w:rPr>
        <w:t xml:space="preserve">is for the </w:t>
      </w:r>
      <w:r w:rsidRPr="006C6AD7">
        <w:rPr>
          <w:rFonts w:ascii="TimesNewRomanPSMT" w:eastAsia="Times New Roman" w:hAnsi="TimesNewRomanPSMT" w:cs="TimesNewRomanPSMT"/>
          <w:sz w:val="24"/>
          <w:szCs w:val="24"/>
        </w:rPr>
        <w:t>purpose of</w:t>
      </w:r>
      <w:r w:rsidR="00024843" w:rsidRPr="00024843">
        <w:rPr>
          <w:rFonts w:ascii="TimesNewRomanPSMT" w:eastAsia="Times New Roman" w:hAnsi="TimesNewRomanPSMT" w:cs="TimesNewRomanPSMT"/>
          <w:sz w:val="24"/>
          <w:szCs w:val="24"/>
        </w:rPr>
        <w:t xml:space="preserve"> </w:t>
      </w:r>
      <w:r w:rsidR="000A487E" w:rsidRPr="000A487E">
        <w:rPr>
          <w:rFonts w:ascii="TimesNewRomanPSMT" w:eastAsia="Times New Roman" w:hAnsi="TimesNewRomanPSMT" w:cs="TimesNewRomanPSMT"/>
          <w:sz w:val="24"/>
          <w:szCs w:val="24"/>
        </w:rPr>
        <w:t>establishing the Baltimore City Home Repairs Grant Program</w:t>
      </w:r>
      <w:r w:rsidR="000A487E">
        <w:rPr>
          <w:rFonts w:ascii="TimesNewRomanPSMT" w:eastAsia="Times New Roman" w:hAnsi="TimesNewRomanPSMT" w:cs="TimesNewRomanPSMT"/>
          <w:sz w:val="24"/>
          <w:szCs w:val="24"/>
        </w:rPr>
        <w:t>. The bill</w:t>
      </w:r>
      <w:r w:rsidR="000A487E" w:rsidRPr="000A487E">
        <w:rPr>
          <w:rFonts w:ascii="TimesNewRomanPSMT" w:eastAsia="Times New Roman" w:hAnsi="TimesNewRomanPSMT" w:cs="TimesNewRomanPSMT"/>
          <w:sz w:val="24"/>
          <w:szCs w:val="24"/>
        </w:rPr>
        <w:t xml:space="preserve"> establish</w:t>
      </w:r>
      <w:r w:rsidR="000A487E">
        <w:rPr>
          <w:rFonts w:ascii="TimesNewRomanPSMT" w:eastAsia="Times New Roman" w:hAnsi="TimesNewRomanPSMT" w:cs="TimesNewRomanPSMT"/>
          <w:sz w:val="24"/>
          <w:szCs w:val="24"/>
        </w:rPr>
        <w:t xml:space="preserve">es </w:t>
      </w:r>
      <w:r w:rsidR="000A487E" w:rsidRPr="000A487E">
        <w:rPr>
          <w:rFonts w:ascii="TimesNewRomanPSMT" w:eastAsia="Times New Roman" w:hAnsi="TimesNewRomanPSMT" w:cs="TimesNewRomanPSMT"/>
          <w:sz w:val="24"/>
          <w:szCs w:val="24"/>
        </w:rPr>
        <w:t>eligibility criteria for the Program</w:t>
      </w:r>
      <w:r w:rsidR="00E429E4">
        <w:rPr>
          <w:rFonts w:ascii="TimesNewRomanPSMT" w:eastAsia="Times New Roman" w:hAnsi="TimesNewRomanPSMT" w:cs="TimesNewRomanPSMT"/>
          <w:sz w:val="24"/>
          <w:szCs w:val="24"/>
        </w:rPr>
        <w:t xml:space="preserve"> and</w:t>
      </w:r>
      <w:r w:rsidR="000A487E" w:rsidRPr="000A487E">
        <w:rPr>
          <w:rFonts w:ascii="TimesNewRomanPSMT" w:eastAsia="Times New Roman" w:hAnsi="TimesNewRomanPSMT" w:cs="TimesNewRomanPSMT"/>
          <w:sz w:val="24"/>
          <w:szCs w:val="24"/>
        </w:rPr>
        <w:t xml:space="preserve"> specif</w:t>
      </w:r>
      <w:r w:rsidR="000A487E">
        <w:rPr>
          <w:rFonts w:ascii="TimesNewRomanPSMT" w:eastAsia="Times New Roman" w:hAnsi="TimesNewRomanPSMT" w:cs="TimesNewRomanPSMT"/>
          <w:sz w:val="24"/>
          <w:szCs w:val="24"/>
        </w:rPr>
        <w:t xml:space="preserve">ies the types of repair </w:t>
      </w:r>
      <w:r w:rsidR="000A487E" w:rsidRPr="000A487E">
        <w:rPr>
          <w:rFonts w:ascii="TimesNewRomanPSMT" w:eastAsia="Times New Roman" w:hAnsi="TimesNewRomanPSMT" w:cs="TimesNewRomanPSMT"/>
          <w:sz w:val="24"/>
          <w:szCs w:val="24"/>
        </w:rPr>
        <w:t>assistance provided by the Program</w:t>
      </w:r>
      <w:r w:rsidR="000A487E">
        <w:rPr>
          <w:rFonts w:ascii="TimesNewRomanPSMT" w:eastAsia="Times New Roman" w:hAnsi="TimesNewRomanPSMT" w:cs="TimesNewRomanPSMT"/>
          <w:sz w:val="24"/>
          <w:szCs w:val="24"/>
        </w:rPr>
        <w:t xml:space="preserve">. The establishment of this program is within the legislative authority to the City Council. There are some details </w:t>
      </w:r>
      <w:r w:rsidR="004A21C1">
        <w:rPr>
          <w:rFonts w:ascii="TimesNewRomanPSMT" w:eastAsia="Times New Roman" w:hAnsi="TimesNewRomanPSMT" w:cs="TimesNewRomanPSMT"/>
          <w:sz w:val="24"/>
          <w:szCs w:val="24"/>
        </w:rPr>
        <w:t>i</w:t>
      </w:r>
      <w:r w:rsidR="000A487E">
        <w:rPr>
          <w:rFonts w:ascii="TimesNewRomanPSMT" w:eastAsia="Times New Roman" w:hAnsi="TimesNewRomanPSMT" w:cs="TimesNewRomanPSMT"/>
          <w:sz w:val="24"/>
          <w:szCs w:val="24"/>
        </w:rPr>
        <w:t>n the bill</w:t>
      </w:r>
      <w:r w:rsidR="004A21C1">
        <w:rPr>
          <w:rFonts w:ascii="TimesNewRomanPSMT" w:eastAsia="Times New Roman" w:hAnsi="TimesNewRomanPSMT" w:cs="TimesNewRomanPSMT"/>
          <w:sz w:val="24"/>
          <w:szCs w:val="24"/>
        </w:rPr>
        <w:t>,</w:t>
      </w:r>
      <w:r w:rsidR="000A487E">
        <w:rPr>
          <w:rFonts w:ascii="TimesNewRomanPSMT" w:eastAsia="Times New Roman" w:hAnsi="TimesNewRomanPSMT" w:cs="TimesNewRomanPSMT"/>
          <w:sz w:val="24"/>
          <w:szCs w:val="24"/>
        </w:rPr>
        <w:t xml:space="preserve"> however</w:t>
      </w:r>
      <w:r w:rsidR="004A21C1">
        <w:rPr>
          <w:rFonts w:ascii="TimesNewRomanPSMT" w:eastAsia="Times New Roman" w:hAnsi="TimesNewRomanPSMT" w:cs="TimesNewRomanPSMT"/>
          <w:sz w:val="24"/>
          <w:szCs w:val="24"/>
        </w:rPr>
        <w:t>,</w:t>
      </w:r>
      <w:r w:rsidR="000A487E">
        <w:rPr>
          <w:rFonts w:ascii="TimesNewRomanPSMT" w:eastAsia="Times New Roman" w:hAnsi="TimesNewRomanPSMT" w:cs="TimesNewRomanPSMT"/>
          <w:sz w:val="24"/>
          <w:szCs w:val="24"/>
        </w:rPr>
        <w:t xml:space="preserve"> that are problematic.</w:t>
      </w:r>
      <w:r w:rsidR="000A487E" w:rsidRPr="000A487E">
        <w:rPr>
          <w:rFonts w:ascii="TimesNewRomanPSMT" w:eastAsia="Times New Roman" w:hAnsi="TimesNewRomanPSMT" w:cs="TimesNewRomanPSMT"/>
          <w:sz w:val="24"/>
          <w:szCs w:val="24"/>
        </w:rPr>
        <w:t xml:space="preserve"> </w:t>
      </w:r>
    </w:p>
    <w:p w:rsidR="004A21C1" w:rsidRDefault="004A21C1" w:rsidP="00580565">
      <w:pPr>
        <w:autoSpaceDE w:val="0"/>
        <w:autoSpaceDN w:val="0"/>
        <w:adjustRightInd w:val="0"/>
        <w:spacing w:after="0" w:line="240" w:lineRule="auto"/>
        <w:rPr>
          <w:rFonts w:ascii="TimesNewRomanPSMT" w:eastAsia="Times New Roman" w:hAnsi="TimesNewRomanPSMT" w:cs="TimesNewRomanPSMT"/>
          <w:sz w:val="24"/>
          <w:szCs w:val="24"/>
        </w:rPr>
      </w:pPr>
    </w:p>
    <w:p w:rsidR="004A21C1" w:rsidRDefault="004A21C1" w:rsidP="00580565">
      <w:pPr>
        <w:autoSpaceDE w:val="0"/>
        <w:autoSpaceDN w:val="0"/>
        <w:adjustRightInd w:val="0"/>
        <w:spacing w:after="0" w:line="240" w:lineRule="auto"/>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The bill contains</w:t>
      </w:r>
      <w:r w:rsidR="00BD14C2">
        <w:rPr>
          <w:rFonts w:ascii="TimesNewRomanPSMT" w:eastAsia="Times New Roman" w:hAnsi="TimesNewRomanPSMT" w:cs="TimesNewRomanPSMT"/>
          <w:sz w:val="24"/>
          <w:szCs w:val="24"/>
        </w:rPr>
        <w:t xml:space="preserve"> several categories of eligible applicants</w:t>
      </w:r>
      <w:r>
        <w:rPr>
          <w:rFonts w:ascii="TimesNewRomanPSMT" w:eastAsia="Times New Roman" w:hAnsi="TimesNewRomanPSMT" w:cs="TimesNewRomanPSMT"/>
          <w:sz w:val="24"/>
          <w:szCs w:val="24"/>
        </w:rPr>
        <w:t xml:space="preserve"> </w:t>
      </w:r>
      <w:r w:rsidR="00BD14C2">
        <w:rPr>
          <w:rFonts w:ascii="TimesNewRomanPSMT" w:eastAsia="Times New Roman" w:hAnsi="TimesNewRomanPSMT" w:cs="TimesNewRomanPSMT"/>
          <w:sz w:val="24"/>
          <w:szCs w:val="24"/>
        </w:rPr>
        <w:t>for repair gra</w:t>
      </w:r>
      <w:r w:rsidR="008C4CFF">
        <w:rPr>
          <w:rFonts w:ascii="TimesNewRomanPSMT" w:eastAsia="Times New Roman" w:hAnsi="TimesNewRomanPSMT" w:cs="TimesNewRomanPSMT"/>
          <w:sz w:val="24"/>
          <w:szCs w:val="24"/>
        </w:rPr>
        <w:t>n</w:t>
      </w:r>
      <w:r w:rsidR="00BD14C2">
        <w:rPr>
          <w:rFonts w:ascii="TimesNewRomanPSMT" w:eastAsia="Times New Roman" w:hAnsi="TimesNewRomanPSMT" w:cs="TimesNewRomanPSMT"/>
          <w:sz w:val="24"/>
          <w:szCs w:val="24"/>
        </w:rPr>
        <w:t>t</w:t>
      </w:r>
      <w:r w:rsidR="008C4CFF">
        <w:rPr>
          <w:rFonts w:ascii="TimesNewRomanPSMT" w:eastAsia="Times New Roman" w:hAnsi="TimesNewRomanPSMT" w:cs="TimesNewRomanPSMT"/>
          <w:sz w:val="24"/>
          <w:szCs w:val="24"/>
        </w:rPr>
        <w:t xml:space="preserve"> </w:t>
      </w:r>
      <w:r w:rsidR="00E20788">
        <w:rPr>
          <w:rFonts w:ascii="TimesNewRomanPSMT" w:eastAsia="Times New Roman" w:hAnsi="TimesNewRomanPSMT" w:cs="TimesNewRomanPSMT"/>
          <w:sz w:val="24"/>
          <w:szCs w:val="24"/>
        </w:rPr>
        <w:t>some of which</w:t>
      </w:r>
      <w:r w:rsidR="00BD14C2">
        <w:rPr>
          <w:rFonts w:ascii="TimesNewRomanPSMT" w:eastAsia="Times New Roman" w:hAnsi="TimesNewRomanPSMT" w:cs="TimesNewRomanPSMT"/>
          <w:sz w:val="24"/>
          <w:szCs w:val="24"/>
        </w:rPr>
        <w:t xml:space="preserve"> require</w:t>
      </w:r>
      <w:r>
        <w:rPr>
          <w:rFonts w:ascii="TimesNewRomanPSMT" w:eastAsia="Times New Roman" w:hAnsi="TimesNewRomanPSMT" w:cs="TimesNewRomanPSMT"/>
          <w:sz w:val="24"/>
          <w:szCs w:val="24"/>
        </w:rPr>
        <w:t xml:space="preserve"> that </w:t>
      </w:r>
      <w:r w:rsidR="00BD14C2">
        <w:rPr>
          <w:rFonts w:ascii="TimesNewRomanPSMT" w:eastAsia="Times New Roman" w:hAnsi="TimesNewRomanPSMT" w:cs="TimesNewRomanPSMT"/>
          <w:sz w:val="24"/>
          <w:szCs w:val="24"/>
        </w:rPr>
        <w:t xml:space="preserve">the </w:t>
      </w:r>
      <w:r>
        <w:rPr>
          <w:rFonts w:ascii="TimesNewRomanPSMT" w:eastAsia="Times New Roman" w:hAnsi="TimesNewRomanPSMT" w:cs="TimesNewRomanPSMT"/>
          <w:sz w:val="24"/>
          <w:szCs w:val="24"/>
        </w:rPr>
        <w:t xml:space="preserve">applicant </w:t>
      </w:r>
      <w:r w:rsidR="00BD14C2">
        <w:rPr>
          <w:rFonts w:ascii="TimesNewRomanPSMT" w:eastAsia="Times New Roman" w:hAnsi="TimesNewRomanPSMT" w:cs="TimesNewRomanPSMT"/>
          <w:sz w:val="24"/>
          <w:szCs w:val="24"/>
        </w:rPr>
        <w:t>mu</w:t>
      </w:r>
      <w:r w:rsidR="004C4672">
        <w:rPr>
          <w:rFonts w:ascii="TimesNewRomanPSMT" w:eastAsia="Times New Roman" w:hAnsi="TimesNewRomanPSMT" w:cs="TimesNewRomanPSMT"/>
          <w:sz w:val="24"/>
          <w:szCs w:val="24"/>
        </w:rPr>
        <w:t xml:space="preserve">st satisfy </w:t>
      </w:r>
      <w:r w:rsidR="00BD14C2">
        <w:rPr>
          <w:rFonts w:ascii="TimesNewRomanPSMT" w:eastAsia="Times New Roman" w:hAnsi="TimesNewRomanPSMT" w:cs="TimesNewRomanPSMT"/>
          <w:sz w:val="24"/>
          <w:szCs w:val="24"/>
        </w:rPr>
        <w:t xml:space="preserve">certain </w:t>
      </w:r>
      <w:r w:rsidR="004C4672">
        <w:rPr>
          <w:rFonts w:ascii="TimesNewRomanPSMT" w:eastAsia="Times New Roman" w:hAnsi="TimesNewRomanPSMT" w:cs="TimesNewRomanPSMT"/>
          <w:sz w:val="24"/>
          <w:szCs w:val="24"/>
        </w:rPr>
        <w:t>Baltimore city residen</w:t>
      </w:r>
      <w:r w:rsidR="00A908A3">
        <w:rPr>
          <w:rFonts w:ascii="TimesNewRomanPSMT" w:eastAsia="Times New Roman" w:hAnsi="TimesNewRomanPSMT" w:cs="TimesNewRomanPSMT"/>
          <w:sz w:val="24"/>
          <w:szCs w:val="24"/>
        </w:rPr>
        <w:t>c</w:t>
      </w:r>
      <w:r w:rsidR="004C4672">
        <w:rPr>
          <w:rFonts w:ascii="TimesNewRomanPSMT" w:eastAsia="Times New Roman" w:hAnsi="TimesNewRomanPSMT" w:cs="TimesNewRomanPSMT"/>
          <w:sz w:val="24"/>
          <w:szCs w:val="24"/>
        </w:rPr>
        <w:t xml:space="preserve">y </w:t>
      </w:r>
      <w:r w:rsidR="00BD14C2">
        <w:rPr>
          <w:rFonts w:ascii="TimesNewRomanPSMT" w:eastAsia="Times New Roman" w:hAnsi="TimesNewRomanPSMT" w:cs="TimesNewRomanPSMT"/>
          <w:sz w:val="24"/>
          <w:szCs w:val="24"/>
        </w:rPr>
        <w:t>thresholds</w:t>
      </w:r>
      <w:r w:rsidR="00A908A3">
        <w:rPr>
          <w:rFonts w:ascii="TimesNewRomanPSMT" w:eastAsia="Times New Roman" w:hAnsi="TimesNewRomanPSMT" w:cs="TimesNewRomanPSMT"/>
          <w:sz w:val="24"/>
          <w:szCs w:val="24"/>
        </w:rPr>
        <w:t xml:space="preserve">. The first </w:t>
      </w:r>
      <w:r w:rsidR="00BD14C2">
        <w:rPr>
          <w:rFonts w:ascii="TimesNewRomanPSMT" w:eastAsia="Times New Roman" w:hAnsi="TimesNewRomanPSMT" w:cs="TimesNewRomanPSMT"/>
          <w:sz w:val="24"/>
          <w:szCs w:val="24"/>
        </w:rPr>
        <w:t>category with residency</w:t>
      </w:r>
      <w:r w:rsidR="00763838">
        <w:rPr>
          <w:rFonts w:ascii="TimesNewRomanPSMT" w:eastAsia="Times New Roman" w:hAnsi="TimesNewRomanPSMT" w:cs="TimesNewRomanPSMT"/>
          <w:sz w:val="24"/>
          <w:szCs w:val="24"/>
        </w:rPr>
        <w:t>-based criteria</w:t>
      </w:r>
      <w:r w:rsidR="00A36E05">
        <w:rPr>
          <w:rFonts w:ascii="TimesNewRomanPSMT" w:eastAsia="Times New Roman" w:hAnsi="TimesNewRomanPSMT" w:cs="TimesNewRomanPSMT"/>
          <w:sz w:val="24"/>
          <w:szCs w:val="24"/>
        </w:rPr>
        <w:t xml:space="preserve"> </w:t>
      </w:r>
      <w:r w:rsidR="00BD14C2">
        <w:rPr>
          <w:rFonts w:ascii="TimesNewRomanPSMT" w:eastAsia="Times New Roman" w:hAnsi="TimesNewRomanPSMT" w:cs="TimesNewRomanPSMT"/>
          <w:sz w:val="24"/>
          <w:szCs w:val="24"/>
        </w:rPr>
        <w:t xml:space="preserve">requires </w:t>
      </w:r>
      <w:r w:rsidR="00A36E05">
        <w:rPr>
          <w:rFonts w:ascii="TimesNewRomanPSMT" w:eastAsia="Times New Roman" w:hAnsi="TimesNewRomanPSMT" w:cs="TimesNewRomanPSMT"/>
          <w:sz w:val="24"/>
          <w:szCs w:val="24"/>
        </w:rPr>
        <w:t>that</w:t>
      </w:r>
      <w:r w:rsidR="00A908A3">
        <w:rPr>
          <w:rFonts w:ascii="TimesNewRomanPSMT" w:eastAsia="Times New Roman" w:hAnsi="TimesNewRomanPSMT" w:cs="TimesNewRomanPSMT"/>
          <w:sz w:val="24"/>
          <w:szCs w:val="24"/>
        </w:rPr>
        <w:t xml:space="preserve"> </w:t>
      </w:r>
      <w:r w:rsidR="00A36E05">
        <w:rPr>
          <w:rFonts w:ascii="TimesNewRomanPSMT" w:eastAsia="Times New Roman" w:hAnsi="TimesNewRomanPSMT" w:cs="TimesNewRomanPSMT"/>
          <w:sz w:val="24"/>
          <w:szCs w:val="24"/>
        </w:rPr>
        <w:t xml:space="preserve">the applicant </w:t>
      </w:r>
      <w:r w:rsidR="00BD14C2">
        <w:rPr>
          <w:rFonts w:ascii="TimesNewRomanPSMT" w:eastAsia="Times New Roman" w:hAnsi="TimesNewRomanPSMT" w:cs="TimesNewRomanPSMT"/>
          <w:sz w:val="24"/>
          <w:szCs w:val="24"/>
        </w:rPr>
        <w:t xml:space="preserve">must </w:t>
      </w:r>
      <w:r w:rsidR="00A36E05">
        <w:rPr>
          <w:rFonts w:ascii="TimesNewRomanPSMT" w:eastAsia="Times New Roman" w:hAnsi="TimesNewRomanPSMT" w:cs="TimesNewRomanPSMT"/>
          <w:sz w:val="24"/>
          <w:szCs w:val="24"/>
        </w:rPr>
        <w:t>have resided in the City</w:t>
      </w:r>
      <w:r w:rsidR="00575600">
        <w:rPr>
          <w:rFonts w:ascii="TimesNewRomanPSMT" w:eastAsia="Times New Roman" w:hAnsi="TimesNewRomanPSMT" w:cs="TimesNewRomanPSMT"/>
          <w:sz w:val="24"/>
          <w:szCs w:val="24"/>
        </w:rPr>
        <w:t xml:space="preserve"> as their princip</w:t>
      </w:r>
      <w:r w:rsidR="00763838">
        <w:rPr>
          <w:rFonts w:ascii="TimesNewRomanPSMT" w:eastAsia="Times New Roman" w:hAnsi="TimesNewRomanPSMT" w:cs="TimesNewRomanPSMT"/>
          <w:sz w:val="24"/>
          <w:szCs w:val="24"/>
        </w:rPr>
        <w:t>a</w:t>
      </w:r>
      <w:r w:rsidR="00575600">
        <w:rPr>
          <w:rFonts w:ascii="TimesNewRomanPSMT" w:eastAsia="Times New Roman" w:hAnsi="TimesNewRomanPSMT" w:cs="TimesNewRomanPSMT"/>
          <w:sz w:val="24"/>
          <w:szCs w:val="24"/>
        </w:rPr>
        <w:t>l residence</w:t>
      </w:r>
      <w:r w:rsidR="00A36E05">
        <w:rPr>
          <w:rFonts w:ascii="TimesNewRomanPSMT" w:eastAsia="Times New Roman" w:hAnsi="TimesNewRomanPSMT" w:cs="TimesNewRomanPSMT"/>
          <w:sz w:val="24"/>
          <w:szCs w:val="24"/>
        </w:rPr>
        <w:t xml:space="preserve"> for 15 years prior to June 30, 2022.  The second</w:t>
      </w:r>
      <w:r w:rsidR="00BD14C2">
        <w:rPr>
          <w:rFonts w:ascii="TimesNewRomanPSMT" w:eastAsia="Times New Roman" w:hAnsi="TimesNewRomanPSMT" w:cs="TimesNewRomanPSMT"/>
          <w:sz w:val="24"/>
          <w:szCs w:val="24"/>
        </w:rPr>
        <w:t xml:space="preserve"> category</w:t>
      </w:r>
      <w:r w:rsidR="00A36E05">
        <w:rPr>
          <w:rFonts w:ascii="TimesNewRomanPSMT" w:eastAsia="Times New Roman" w:hAnsi="TimesNewRomanPSMT" w:cs="TimesNewRomanPSMT"/>
          <w:sz w:val="24"/>
          <w:szCs w:val="24"/>
        </w:rPr>
        <w:t xml:space="preserve"> requires residency</w:t>
      </w:r>
      <w:r w:rsidR="00611D37">
        <w:rPr>
          <w:rFonts w:ascii="TimesNewRomanPSMT" w:eastAsia="Times New Roman" w:hAnsi="TimesNewRomanPSMT" w:cs="TimesNewRomanPSMT"/>
          <w:sz w:val="24"/>
          <w:szCs w:val="24"/>
        </w:rPr>
        <w:t xml:space="preserve"> </w:t>
      </w:r>
      <w:r w:rsidR="00A36E05">
        <w:rPr>
          <w:rFonts w:ascii="TimesNewRomanPSMT" w:eastAsia="Times New Roman" w:hAnsi="TimesNewRomanPSMT" w:cs="TimesNewRomanPSMT"/>
          <w:sz w:val="24"/>
          <w:szCs w:val="24"/>
        </w:rPr>
        <w:t>for at</w:t>
      </w:r>
      <w:r w:rsidR="00611D37">
        <w:rPr>
          <w:rFonts w:ascii="TimesNewRomanPSMT" w:eastAsia="Times New Roman" w:hAnsi="TimesNewRomanPSMT" w:cs="TimesNewRomanPSMT"/>
          <w:sz w:val="24"/>
          <w:szCs w:val="24"/>
        </w:rPr>
        <w:t xml:space="preserve"> le</w:t>
      </w:r>
      <w:r w:rsidR="00A36E05">
        <w:rPr>
          <w:rFonts w:ascii="TimesNewRomanPSMT" w:eastAsia="Times New Roman" w:hAnsi="TimesNewRomanPSMT" w:cs="TimesNewRomanPSMT"/>
          <w:sz w:val="24"/>
          <w:szCs w:val="24"/>
        </w:rPr>
        <w:t>ast 15</w:t>
      </w:r>
      <w:r w:rsidR="00BD14C2">
        <w:rPr>
          <w:rFonts w:ascii="TimesNewRomanPSMT" w:eastAsia="Times New Roman" w:hAnsi="TimesNewRomanPSMT" w:cs="TimesNewRomanPSMT"/>
          <w:sz w:val="24"/>
          <w:szCs w:val="24"/>
        </w:rPr>
        <w:t xml:space="preserve"> years</w:t>
      </w:r>
      <w:r w:rsidR="00575600">
        <w:rPr>
          <w:rFonts w:ascii="TimesNewRomanPSMT" w:eastAsia="Times New Roman" w:hAnsi="TimesNewRomanPSMT" w:cs="TimesNewRomanPSMT"/>
          <w:sz w:val="24"/>
          <w:szCs w:val="24"/>
        </w:rPr>
        <w:t xml:space="preserve"> </w:t>
      </w:r>
      <w:r w:rsidR="00A36E05">
        <w:rPr>
          <w:rFonts w:ascii="TimesNewRomanPSMT" w:eastAsia="Times New Roman" w:hAnsi="TimesNewRomanPSMT" w:cs="TimesNewRomanPSMT"/>
          <w:sz w:val="24"/>
          <w:szCs w:val="24"/>
        </w:rPr>
        <w:t xml:space="preserve">at some point in time </w:t>
      </w:r>
      <w:r w:rsidR="00BD14C2">
        <w:rPr>
          <w:rFonts w:ascii="TimesNewRomanPSMT" w:eastAsia="Times New Roman" w:hAnsi="TimesNewRomanPSMT" w:cs="TimesNewRomanPSMT"/>
          <w:sz w:val="24"/>
          <w:szCs w:val="24"/>
        </w:rPr>
        <w:t>and change</w:t>
      </w:r>
      <w:r w:rsidR="00575600">
        <w:rPr>
          <w:rFonts w:ascii="TimesNewRomanPSMT" w:eastAsia="Times New Roman" w:hAnsi="TimesNewRomanPSMT" w:cs="TimesNewRomanPSMT"/>
          <w:sz w:val="24"/>
          <w:szCs w:val="24"/>
        </w:rPr>
        <w:t>d</w:t>
      </w:r>
      <w:r w:rsidR="00A36E05">
        <w:rPr>
          <w:rFonts w:ascii="TimesNewRomanPSMT" w:eastAsia="Times New Roman" w:hAnsi="TimesNewRomanPSMT" w:cs="TimesNewRomanPSMT"/>
          <w:sz w:val="24"/>
          <w:szCs w:val="24"/>
        </w:rPr>
        <w:t xml:space="preserve"> residency due to foreclosure, short sale or deed in</w:t>
      </w:r>
      <w:r w:rsidR="00611D37">
        <w:rPr>
          <w:rFonts w:ascii="TimesNewRomanPSMT" w:eastAsia="Times New Roman" w:hAnsi="TimesNewRomanPSMT" w:cs="TimesNewRomanPSMT"/>
          <w:sz w:val="24"/>
          <w:szCs w:val="24"/>
        </w:rPr>
        <w:t xml:space="preserve"> </w:t>
      </w:r>
      <w:r w:rsidR="00A36E05">
        <w:rPr>
          <w:rFonts w:ascii="TimesNewRomanPSMT" w:eastAsia="Times New Roman" w:hAnsi="TimesNewRomanPSMT" w:cs="TimesNewRomanPSMT"/>
          <w:sz w:val="24"/>
          <w:szCs w:val="24"/>
        </w:rPr>
        <w:t>lieu of foreclosure.</w:t>
      </w:r>
      <w:r w:rsidR="008C4CFF" w:rsidRPr="008C4CFF">
        <w:rPr>
          <w:rFonts w:ascii="TimesNewRomanPSMT" w:eastAsia="Times New Roman" w:hAnsi="TimesNewRomanPSMT" w:cs="TimesNewRomanPSMT"/>
          <w:sz w:val="24"/>
          <w:szCs w:val="24"/>
        </w:rPr>
        <w:t xml:space="preserve"> Both these of </w:t>
      </w:r>
      <w:r w:rsidR="008C4CFF">
        <w:rPr>
          <w:rFonts w:ascii="TimesNewRomanPSMT" w:eastAsia="Times New Roman" w:hAnsi="TimesNewRomanPSMT" w:cs="TimesNewRomanPSMT"/>
          <w:sz w:val="24"/>
          <w:szCs w:val="24"/>
        </w:rPr>
        <w:t>categories</w:t>
      </w:r>
      <w:r w:rsidR="008C4CFF" w:rsidRPr="008C4CFF">
        <w:rPr>
          <w:rFonts w:ascii="TimesNewRomanPSMT" w:eastAsia="Times New Roman" w:hAnsi="TimesNewRomanPSMT" w:cs="TimesNewRomanPSMT"/>
          <w:sz w:val="24"/>
          <w:szCs w:val="24"/>
        </w:rPr>
        <w:t xml:space="preserve"> are subject to the condition that the home was the</w:t>
      </w:r>
      <w:r w:rsidR="008C4CFF">
        <w:rPr>
          <w:rFonts w:ascii="TimesNewRomanPSMT" w:eastAsia="Times New Roman" w:hAnsi="TimesNewRomanPSMT" w:cs="TimesNewRomanPSMT"/>
          <w:sz w:val="24"/>
          <w:szCs w:val="24"/>
        </w:rPr>
        <w:t xml:space="preserve"> applicant’s</w:t>
      </w:r>
      <w:r w:rsidR="008C4CFF" w:rsidRPr="008C4CFF">
        <w:rPr>
          <w:rFonts w:ascii="TimesNewRomanPSMT" w:eastAsia="Times New Roman" w:hAnsi="TimesNewRomanPSMT" w:cs="TimesNewRomanPSMT"/>
          <w:sz w:val="24"/>
          <w:szCs w:val="24"/>
        </w:rPr>
        <w:t xml:space="preserve"> principal residence and was purchased or refinanced during the period of January 1, 2001 and December 30, 2008. </w:t>
      </w:r>
      <w:r w:rsidR="00A36E05">
        <w:rPr>
          <w:rFonts w:ascii="TimesNewRomanPSMT" w:eastAsia="Times New Roman" w:hAnsi="TimesNewRomanPSMT" w:cs="TimesNewRomanPSMT"/>
          <w:sz w:val="24"/>
          <w:szCs w:val="24"/>
        </w:rPr>
        <w:t xml:space="preserve"> </w:t>
      </w:r>
      <w:r w:rsidR="00611D37">
        <w:rPr>
          <w:rFonts w:ascii="TimesNewRomanPSMT" w:eastAsia="Times New Roman" w:hAnsi="TimesNewRomanPSMT" w:cs="TimesNewRomanPSMT"/>
          <w:sz w:val="24"/>
          <w:szCs w:val="24"/>
        </w:rPr>
        <w:t>The final residency</w:t>
      </w:r>
      <w:r w:rsidR="008C4CFF">
        <w:rPr>
          <w:rFonts w:ascii="TimesNewRomanPSMT" w:eastAsia="Times New Roman" w:hAnsi="TimesNewRomanPSMT" w:cs="TimesNewRomanPSMT"/>
          <w:sz w:val="24"/>
          <w:szCs w:val="24"/>
        </w:rPr>
        <w:t>-</w:t>
      </w:r>
      <w:r w:rsidR="00611D37">
        <w:rPr>
          <w:rFonts w:ascii="TimesNewRomanPSMT" w:eastAsia="Times New Roman" w:hAnsi="TimesNewRomanPSMT" w:cs="TimesNewRomanPSMT"/>
          <w:sz w:val="24"/>
          <w:szCs w:val="24"/>
        </w:rPr>
        <w:t>based requirement applies to reside</w:t>
      </w:r>
      <w:r w:rsidR="00575600">
        <w:rPr>
          <w:rFonts w:ascii="TimesNewRomanPSMT" w:eastAsia="Times New Roman" w:hAnsi="TimesNewRomanPSMT" w:cs="TimesNewRomanPSMT"/>
          <w:sz w:val="24"/>
          <w:szCs w:val="24"/>
        </w:rPr>
        <w:t>n</w:t>
      </w:r>
      <w:r w:rsidR="00611D37">
        <w:rPr>
          <w:rFonts w:ascii="TimesNewRomanPSMT" w:eastAsia="Times New Roman" w:hAnsi="TimesNewRomanPSMT" w:cs="TimesNewRomanPSMT"/>
          <w:sz w:val="24"/>
          <w:szCs w:val="24"/>
        </w:rPr>
        <w:t>ts of a Designated Impact Investment Neighborhood</w:t>
      </w:r>
      <w:r w:rsidR="008C4CFF">
        <w:rPr>
          <w:rFonts w:ascii="TimesNewRomanPSMT" w:eastAsia="Times New Roman" w:hAnsi="TimesNewRomanPSMT" w:cs="TimesNewRomanPSMT"/>
          <w:sz w:val="24"/>
          <w:szCs w:val="24"/>
        </w:rPr>
        <w:t xml:space="preserve"> (DIN)</w:t>
      </w:r>
      <w:r w:rsidR="00575600">
        <w:rPr>
          <w:rFonts w:ascii="TimesNewRomanPSMT" w:eastAsia="Times New Roman" w:hAnsi="TimesNewRomanPSMT" w:cs="TimesNewRomanPSMT"/>
          <w:sz w:val="24"/>
          <w:szCs w:val="24"/>
        </w:rPr>
        <w:t>. It</w:t>
      </w:r>
      <w:r w:rsidR="00611D37">
        <w:rPr>
          <w:rFonts w:ascii="TimesNewRomanPSMT" w:eastAsia="Times New Roman" w:hAnsi="TimesNewRomanPSMT" w:cs="TimesNewRomanPSMT"/>
          <w:sz w:val="24"/>
          <w:szCs w:val="24"/>
        </w:rPr>
        <w:t xml:space="preserve"> mandates 10 continuous years of residency prior to application or 10 years at some point and a change in residency </w:t>
      </w:r>
      <w:r w:rsidR="00575600">
        <w:rPr>
          <w:rFonts w:ascii="TimesNewRomanPSMT" w:eastAsia="Times New Roman" w:hAnsi="TimesNewRomanPSMT" w:cs="TimesNewRomanPSMT"/>
          <w:sz w:val="24"/>
          <w:szCs w:val="24"/>
        </w:rPr>
        <w:t xml:space="preserve">taking them outside the DIN </w:t>
      </w:r>
      <w:r w:rsidR="00611D37">
        <w:rPr>
          <w:rFonts w:ascii="TimesNewRomanPSMT" w:eastAsia="Times New Roman" w:hAnsi="TimesNewRomanPSMT" w:cs="TimesNewRomanPSMT"/>
          <w:sz w:val="24"/>
          <w:szCs w:val="24"/>
        </w:rPr>
        <w:t>due to foreclosure, short sale o</w:t>
      </w:r>
      <w:r w:rsidR="00575600">
        <w:rPr>
          <w:rFonts w:ascii="TimesNewRomanPSMT" w:eastAsia="Times New Roman" w:hAnsi="TimesNewRomanPSMT" w:cs="TimesNewRomanPSMT"/>
          <w:sz w:val="24"/>
          <w:szCs w:val="24"/>
        </w:rPr>
        <w:t>r</w:t>
      </w:r>
      <w:r w:rsidR="008C4CFF">
        <w:rPr>
          <w:rFonts w:ascii="TimesNewRomanPSMT" w:eastAsia="Times New Roman" w:hAnsi="TimesNewRomanPSMT" w:cs="TimesNewRomanPSMT"/>
          <w:sz w:val="24"/>
          <w:szCs w:val="24"/>
        </w:rPr>
        <w:t xml:space="preserve"> </w:t>
      </w:r>
      <w:r w:rsidR="00611D37">
        <w:rPr>
          <w:rFonts w:ascii="TimesNewRomanPSMT" w:eastAsia="Times New Roman" w:hAnsi="TimesNewRomanPSMT" w:cs="TimesNewRomanPSMT"/>
          <w:sz w:val="24"/>
          <w:szCs w:val="24"/>
        </w:rPr>
        <w:t>deed in l</w:t>
      </w:r>
      <w:r w:rsidR="00575600">
        <w:rPr>
          <w:rFonts w:ascii="TimesNewRomanPSMT" w:eastAsia="Times New Roman" w:hAnsi="TimesNewRomanPSMT" w:cs="TimesNewRomanPSMT"/>
          <w:sz w:val="24"/>
          <w:szCs w:val="24"/>
        </w:rPr>
        <w:t>i</w:t>
      </w:r>
      <w:r w:rsidR="00611D37">
        <w:rPr>
          <w:rFonts w:ascii="TimesNewRomanPSMT" w:eastAsia="Times New Roman" w:hAnsi="TimesNewRomanPSMT" w:cs="TimesNewRomanPSMT"/>
          <w:sz w:val="24"/>
          <w:szCs w:val="24"/>
        </w:rPr>
        <w:t>eu of foreclosure</w:t>
      </w:r>
      <w:r w:rsidR="00575600">
        <w:rPr>
          <w:rFonts w:ascii="TimesNewRomanPSMT" w:eastAsia="Times New Roman" w:hAnsi="TimesNewRomanPSMT" w:cs="TimesNewRomanPSMT"/>
          <w:sz w:val="24"/>
          <w:szCs w:val="24"/>
        </w:rPr>
        <w:t xml:space="preserve"> </w:t>
      </w:r>
      <w:r w:rsidR="00611D37">
        <w:rPr>
          <w:rFonts w:ascii="TimesNewRomanPSMT" w:eastAsia="Times New Roman" w:hAnsi="TimesNewRomanPSMT" w:cs="TimesNewRomanPSMT"/>
          <w:sz w:val="24"/>
          <w:szCs w:val="24"/>
        </w:rPr>
        <w:t>provided the home was the applicant</w:t>
      </w:r>
      <w:r w:rsidR="008C4CFF">
        <w:rPr>
          <w:rFonts w:ascii="TimesNewRomanPSMT" w:eastAsia="Times New Roman" w:hAnsi="TimesNewRomanPSMT" w:cs="TimesNewRomanPSMT"/>
          <w:sz w:val="24"/>
          <w:szCs w:val="24"/>
        </w:rPr>
        <w:t>’</w:t>
      </w:r>
      <w:r w:rsidR="00611D37">
        <w:rPr>
          <w:rFonts w:ascii="TimesNewRomanPSMT" w:eastAsia="Times New Roman" w:hAnsi="TimesNewRomanPSMT" w:cs="TimesNewRomanPSMT"/>
          <w:sz w:val="24"/>
          <w:szCs w:val="24"/>
        </w:rPr>
        <w:t>s princip</w:t>
      </w:r>
      <w:r w:rsidR="008C4CFF">
        <w:rPr>
          <w:rFonts w:ascii="TimesNewRomanPSMT" w:eastAsia="Times New Roman" w:hAnsi="TimesNewRomanPSMT" w:cs="TimesNewRomanPSMT"/>
          <w:sz w:val="24"/>
          <w:szCs w:val="24"/>
        </w:rPr>
        <w:t>al</w:t>
      </w:r>
      <w:r w:rsidR="00611D37">
        <w:rPr>
          <w:rFonts w:ascii="TimesNewRomanPSMT" w:eastAsia="Times New Roman" w:hAnsi="TimesNewRomanPSMT" w:cs="TimesNewRomanPSMT"/>
          <w:sz w:val="24"/>
          <w:szCs w:val="24"/>
        </w:rPr>
        <w:t xml:space="preserve"> residence and it was purchased or refinanced betw</w:t>
      </w:r>
      <w:r w:rsidR="008C4CFF">
        <w:rPr>
          <w:rFonts w:ascii="TimesNewRomanPSMT" w:eastAsia="Times New Roman" w:hAnsi="TimesNewRomanPSMT" w:cs="TimesNewRomanPSMT"/>
          <w:sz w:val="24"/>
          <w:szCs w:val="24"/>
        </w:rPr>
        <w:t xml:space="preserve">een </w:t>
      </w:r>
      <w:r w:rsidR="00611D37">
        <w:rPr>
          <w:rFonts w:ascii="TimesNewRomanPSMT" w:eastAsia="Times New Roman" w:hAnsi="TimesNewRomanPSMT" w:cs="TimesNewRomanPSMT"/>
          <w:sz w:val="24"/>
          <w:szCs w:val="24"/>
        </w:rPr>
        <w:t>J</w:t>
      </w:r>
      <w:r w:rsidR="008C4CFF">
        <w:rPr>
          <w:rFonts w:ascii="TimesNewRomanPSMT" w:eastAsia="Times New Roman" w:hAnsi="TimesNewRomanPSMT" w:cs="TimesNewRomanPSMT"/>
          <w:sz w:val="24"/>
          <w:szCs w:val="24"/>
        </w:rPr>
        <w:t>a</w:t>
      </w:r>
      <w:r w:rsidR="00611D37">
        <w:rPr>
          <w:rFonts w:ascii="TimesNewRomanPSMT" w:eastAsia="Times New Roman" w:hAnsi="TimesNewRomanPSMT" w:cs="TimesNewRomanPSMT"/>
          <w:sz w:val="24"/>
          <w:szCs w:val="24"/>
        </w:rPr>
        <w:t>nuary 1, 2001 and December 30, 2008.</w:t>
      </w:r>
    </w:p>
    <w:p w:rsidR="00611D37" w:rsidRDefault="00611D37" w:rsidP="00580565">
      <w:pPr>
        <w:autoSpaceDE w:val="0"/>
        <w:autoSpaceDN w:val="0"/>
        <w:adjustRightInd w:val="0"/>
        <w:spacing w:after="0" w:line="240" w:lineRule="auto"/>
        <w:rPr>
          <w:rFonts w:ascii="TimesNewRomanPSMT" w:eastAsia="Times New Roman" w:hAnsi="TimesNewRomanPSMT" w:cs="TimesNewRomanPSMT"/>
          <w:sz w:val="24"/>
          <w:szCs w:val="24"/>
        </w:rPr>
      </w:pPr>
    </w:p>
    <w:p w:rsidR="00611D37" w:rsidRDefault="00611D37" w:rsidP="00580565">
      <w:pPr>
        <w:autoSpaceDE w:val="0"/>
        <w:autoSpaceDN w:val="0"/>
        <w:adjustRightInd w:val="0"/>
        <w:spacing w:after="0" w:line="240" w:lineRule="auto"/>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 xml:space="preserve">The bill also has </w:t>
      </w:r>
      <w:r w:rsidR="006E15DB">
        <w:rPr>
          <w:rFonts w:ascii="TimesNewRomanPSMT" w:eastAsia="Times New Roman" w:hAnsi="TimesNewRomanPSMT" w:cs="TimesNewRomanPSMT"/>
          <w:sz w:val="24"/>
          <w:szCs w:val="24"/>
        </w:rPr>
        <w:t>three</w:t>
      </w:r>
      <w:r>
        <w:rPr>
          <w:rFonts w:ascii="TimesNewRomanPSMT" w:eastAsia="Times New Roman" w:hAnsi="TimesNewRomanPSMT" w:cs="TimesNewRomanPSMT"/>
          <w:sz w:val="24"/>
          <w:szCs w:val="24"/>
        </w:rPr>
        <w:t xml:space="preserve"> other </w:t>
      </w:r>
      <w:r w:rsidR="00BD14C2">
        <w:rPr>
          <w:rFonts w:ascii="TimesNewRomanPSMT" w:eastAsia="Times New Roman" w:hAnsi="TimesNewRomanPSMT" w:cs="TimesNewRomanPSMT"/>
          <w:sz w:val="24"/>
          <w:szCs w:val="24"/>
        </w:rPr>
        <w:t>categories of eligible applicants 1) those whose household inc</w:t>
      </w:r>
      <w:r w:rsidR="008C4CFF">
        <w:rPr>
          <w:rFonts w:ascii="TimesNewRomanPSMT" w:eastAsia="Times New Roman" w:hAnsi="TimesNewRomanPSMT" w:cs="TimesNewRomanPSMT"/>
          <w:sz w:val="24"/>
          <w:szCs w:val="24"/>
        </w:rPr>
        <w:t>o</w:t>
      </w:r>
      <w:r w:rsidR="00BD14C2">
        <w:rPr>
          <w:rFonts w:ascii="TimesNewRomanPSMT" w:eastAsia="Times New Roman" w:hAnsi="TimesNewRomanPSMT" w:cs="TimesNewRomanPSMT"/>
          <w:sz w:val="24"/>
          <w:szCs w:val="24"/>
        </w:rPr>
        <w:t xml:space="preserve">me is 80% or less of the city’s median income 2) those who are participants in the U.S. Department of Housing and Urban Development Housing Choice Voucher Program and 3) those who have an existing reverse mortgage. </w:t>
      </w:r>
    </w:p>
    <w:p w:rsidR="008C4CFF" w:rsidRDefault="008C4CFF" w:rsidP="00580565">
      <w:pPr>
        <w:autoSpaceDE w:val="0"/>
        <w:autoSpaceDN w:val="0"/>
        <w:adjustRightInd w:val="0"/>
        <w:spacing w:after="0" w:line="240" w:lineRule="auto"/>
        <w:rPr>
          <w:rFonts w:ascii="TimesNewRomanPSMT" w:eastAsia="Times New Roman" w:hAnsi="TimesNewRomanPSMT" w:cs="TimesNewRomanPSMT"/>
          <w:sz w:val="24"/>
          <w:szCs w:val="24"/>
        </w:rPr>
      </w:pPr>
    </w:p>
    <w:p w:rsidR="00E429E4" w:rsidRDefault="008C4CFF" w:rsidP="00580565">
      <w:pPr>
        <w:autoSpaceDE w:val="0"/>
        <w:autoSpaceDN w:val="0"/>
        <w:adjustRightInd w:val="0"/>
        <w:spacing w:after="0" w:line="240" w:lineRule="auto"/>
        <w:rPr>
          <w:rFonts w:ascii="TimesNewRomanPSMT" w:eastAsia="Times New Roman" w:hAnsi="TimesNewRomanPSMT" w:cs="TimesNewRomanPSMT"/>
          <w:i/>
          <w:sz w:val="24"/>
          <w:szCs w:val="24"/>
        </w:rPr>
      </w:pPr>
      <w:r>
        <w:rPr>
          <w:rFonts w:ascii="TimesNewRomanPSMT" w:eastAsia="Times New Roman" w:hAnsi="TimesNewRomanPSMT" w:cs="TimesNewRomanPSMT"/>
          <w:sz w:val="24"/>
          <w:szCs w:val="24"/>
        </w:rPr>
        <w:t xml:space="preserve">The categories requiring a certain number of years as residents prior to being eligible to apply for the home repair </w:t>
      </w:r>
      <w:r w:rsidR="00E401FB">
        <w:rPr>
          <w:rFonts w:ascii="TimesNewRomanPSMT" w:eastAsia="Times New Roman" w:hAnsi="TimesNewRomanPSMT" w:cs="TimesNewRomanPSMT"/>
          <w:sz w:val="24"/>
          <w:szCs w:val="24"/>
        </w:rPr>
        <w:t>grant</w:t>
      </w:r>
      <w:r>
        <w:rPr>
          <w:rFonts w:ascii="TimesNewRomanPSMT" w:eastAsia="Times New Roman" w:hAnsi="TimesNewRomanPSMT" w:cs="TimesNewRomanPSMT"/>
          <w:sz w:val="24"/>
          <w:szCs w:val="24"/>
        </w:rPr>
        <w:t xml:space="preserve"> are problematic.  These types of requir</w:t>
      </w:r>
      <w:r w:rsidR="006E15DB">
        <w:rPr>
          <w:rFonts w:ascii="TimesNewRomanPSMT" w:eastAsia="Times New Roman" w:hAnsi="TimesNewRomanPSMT" w:cs="TimesNewRomanPSMT"/>
          <w:sz w:val="24"/>
          <w:szCs w:val="24"/>
        </w:rPr>
        <w:t>e</w:t>
      </w:r>
      <w:r>
        <w:rPr>
          <w:rFonts w:ascii="TimesNewRomanPSMT" w:eastAsia="Times New Roman" w:hAnsi="TimesNewRomanPSMT" w:cs="TimesNewRomanPSMT"/>
          <w:sz w:val="24"/>
          <w:szCs w:val="24"/>
        </w:rPr>
        <w:t>ments are known as durational residency requir</w:t>
      </w:r>
      <w:r w:rsidR="006E15DB">
        <w:rPr>
          <w:rFonts w:ascii="TimesNewRomanPSMT" w:eastAsia="Times New Roman" w:hAnsi="TimesNewRomanPSMT" w:cs="TimesNewRomanPSMT"/>
          <w:sz w:val="24"/>
          <w:szCs w:val="24"/>
        </w:rPr>
        <w:t>e</w:t>
      </w:r>
      <w:r>
        <w:rPr>
          <w:rFonts w:ascii="TimesNewRomanPSMT" w:eastAsia="Times New Roman" w:hAnsi="TimesNewRomanPSMT" w:cs="TimesNewRomanPSMT"/>
          <w:sz w:val="24"/>
          <w:szCs w:val="24"/>
        </w:rPr>
        <w:t>ments</w:t>
      </w:r>
      <w:r w:rsidR="006E15DB">
        <w:rPr>
          <w:rFonts w:ascii="TimesNewRomanPSMT" w:eastAsia="Times New Roman" w:hAnsi="TimesNewRomanPSMT" w:cs="TimesNewRomanPSMT"/>
          <w:sz w:val="24"/>
          <w:szCs w:val="24"/>
        </w:rPr>
        <w:t>. S</w:t>
      </w:r>
      <w:r w:rsidR="00E401FB">
        <w:rPr>
          <w:rFonts w:ascii="TimesNewRomanPSMT" w:eastAsia="Times New Roman" w:hAnsi="TimesNewRomanPSMT" w:cs="TimesNewRomanPSMT"/>
          <w:sz w:val="24"/>
          <w:szCs w:val="24"/>
        </w:rPr>
        <w:t>uch a test for eligibility for a statutory benefit is considered uncons</w:t>
      </w:r>
      <w:r w:rsidR="006E15DB">
        <w:rPr>
          <w:rFonts w:ascii="TimesNewRomanPSMT" w:eastAsia="Times New Roman" w:hAnsi="TimesNewRomanPSMT" w:cs="TimesNewRomanPSMT"/>
          <w:sz w:val="24"/>
          <w:szCs w:val="24"/>
        </w:rPr>
        <w:t>t</w:t>
      </w:r>
      <w:r w:rsidR="00E401FB">
        <w:rPr>
          <w:rFonts w:ascii="TimesNewRomanPSMT" w:eastAsia="Times New Roman" w:hAnsi="TimesNewRomanPSMT" w:cs="TimesNewRomanPSMT"/>
          <w:sz w:val="24"/>
          <w:szCs w:val="24"/>
        </w:rPr>
        <w:t>itutional</w:t>
      </w:r>
      <w:r w:rsidR="00756703">
        <w:rPr>
          <w:rFonts w:ascii="TimesNewRomanPSMT" w:eastAsia="Times New Roman" w:hAnsi="TimesNewRomanPSMT" w:cs="TimesNewRomanPSMT"/>
          <w:sz w:val="24"/>
          <w:szCs w:val="24"/>
        </w:rPr>
        <w:t xml:space="preserve"> as viol</w:t>
      </w:r>
      <w:r w:rsidR="006E15DB">
        <w:rPr>
          <w:rFonts w:ascii="TimesNewRomanPSMT" w:eastAsia="Times New Roman" w:hAnsi="TimesNewRomanPSMT" w:cs="TimesNewRomanPSMT"/>
          <w:sz w:val="24"/>
          <w:szCs w:val="24"/>
        </w:rPr>
        <w:t>a</w:t>
      </w:r>
      <w:r w:rsidR="00756703">
        <w:rPr>
          <w:rFonts w:ascii="TimesNewRomanPSMT" w:eastAsia="Times New Roman" w:hAnsi="TimesNewRomanPSMT" w:cs="TimesNewRomanPSMT"/>
          <w:sz w:val="24"/>
          <w:szCs w:val="24"/>
        </w:rPr>
        <w:t xml:space="preserve">ting </w:t>
      </w:r>
      <w:r w:rsidR="006E15DB">
        <w:rPr>
          <w:rFonts w:ascii="TimesNewRomanPSMT" w:eastAsia="Times New Roman" w:hAnsi="TimesNewRomanPSMT" w:cs="TimesNewRomanPSMT"/>
          <w:sz w:val="24"/>
          <w:szCs w:val="24"/>
        </w:rPr>
        <w:t xml:space="preserve">the </w:t>
      </w:r>
      <w:r w:rsidR="00756703">
        <w:rPr>
          <w:rFonts w:ascii="TimesNewRomanPSMT" w:eastAsia="Times New Roman" w:hAnsi="TimesNewRomanPSMT" w:cs="TimesNewRomanPSMT"/>
          <w:sz w:val="24"/>
          <w:szCs w:val="24"/>
        </w:rPr>
        <w:t>right to travel</w:t>
      </w:r>
      <w:r w:rsidR="00E401FB">
        <w:rPr>
          <w:rFonts w:ascii="TimesNewRomanPSMT" w:eastAsia="Times New Roman" w:hAnsi="TimesNewRomanPSMT" w:cs="TimesNewRomanPSMT"/>
          <w:sz w:val="24"/>
          <w:szCs w:val="24"/>
        </w:rPr>
        <w:t xml:space="preserve"> </w:t>
      </w:r>
      <w:r w:rsidR="00756703">
        <w:rPr>
          <w:rFonts w:ascii="TimesNewRomanPSMT" w:eastAsia="Times New Roman" w:hAnsi="TimesNewRomanPSMT" w:cs="TimesNewRomanPSMT"/>
          <w:sz w:val="24"/>
          <w:szCs w:val="24"/>
        </w:rPr>
        <w:t>under the equal protection and/or the privileges and immunities clauses of the U.S. Constitution</w:t>
      </w:r>
      <w:r w:rsidR="006E15DB">
        <w:rPr>
          <w:rFonts w:ascii="TimesNewRomanPSMT" w:eastAsia="Times New Roman" w:hAnsi="TimesNewRomanPSMT" w:cs="TimesNewRomanPSMT"/>
          <w:sz w:val="24"/>
          <w:szCs w:val="24"/>
        </w:rPr>
        <w:t xml:space="preserve"> </w:t>
      </w:r>
      <w:r w:rsidR="00E401FB">
        <w:rPr>
          <w:rFonts w:ascii="TimesNewRomanPSMT" w:eastAsia="Times New Roman" w:hAnsi="TimesNewRomanPSMT" w:cs="TimesNewRomanPSMT"/>
          <w:sz w:val="24"/>
          <w:szCs w:val="24"/>
        </w:rPr>
        <w:t>unless there is a co</w:t>
      </w:r>
      <w:r w:rsidR="00797777">
        <w:rPr>
          <w:rFonts w:ascii="TimesNewRomanPSMT" w:eastAsia="Times New Roman" w:hAnsi="TimesNewRomanPSMT" w:cs="TimesNewRomanPSMT"/>
          <w:sz w:val="24"/>
          <w:szCs w:val="24"/>
        </w:rPr>
        <w:t>m</w:t>
      </w:r>
      <w:r w:rsidR="00E401FB">
        <w:rPr>
          <w:rFonts w:ascii="TimesNewRomanPSMT" w:eastAsia="Times New Roman" w:hAnsi="TimesNewRomanPSMT" w:cs="TimesNewRomanPSMT"/>
          <w:sz w:val="24"/>
          <w:szCs w:val="24"/>
        </w:rPr>
        <w:t>p</w:t>
      </w:r>
      <w:r w:rsidR="00797777">
        <w:rPr>
          <w:rFonts w:ascii="TimesNewRomanPSMT" w:eastAsia="Times New Roman" w:hAnsi="TimesNewRomanPSMT" w:cs="TimesNewRomanPSMT"/>
          <w:sz w:val="24"/>
          <w:szCs w:val="24"/>
        </w:rPr>
        <w:t>el</w:t>
      </w:r>
      <w:r w:rsidR="00E401FB">
        <w:rPr>
          <w:rFonts w:ascii="TimesNewRomanPSMT" w:eastAsia="Times New Roman" w:hAnsi="TimesNewRomanPSMT" w:cs="TimesNewRomanPSMT"/>
          <w:sz w:val="24"/>
          <w:szCs w:val="24"/>
        </w:rPr>
        <w:t>l</w:t>
      </w:r>
      <w:r w:rsidR="00797777">
        <w:rPr>
          <w:rFonts w:ascii="TimesNewRomanPSMT" w:eastAsia="Times New Roman" w:hAnsi="TimesNewRomanPSMT" w:cs="TimesNewRomanPSMT"/>
          <w:sz w:val="24"/>
          <w:szCs w:val="24"/>
        </w:rPr>
        <w:t>i</w:t>
      </w:r>
      <w:r w:rsidR="00E401FB">
        <w:rPr>
          <w:rFonts w:ascii="TimesNewRomanPSMT" w:eastAsia="Times New Roman" w:hAnsi="TimesNewRomanPSMT" w:cs="TimesNewRomanPSMT"/>
          <w:sz w:val="24"/>
          <w:szCs w:val="24"/>
        </w:rPr>
        <w:t>n</w:t>
      </w:r>
      <w:r w:rsidR="00797777">
        <w:rPr>
          <w:rFonts w:ascii="TimesNewRomanPSMT" w:eastAsia="Times New Roman" w:hAnsi="TimesNewRomanPSMT" w:cs="TimesNewRomanPSMT"/>
          <w:sz w:val="24"/>
          <w:szCs w:val="24"/>
        </w:rPr>
        <w:t>g</w:t>
      </w:r>
      <w:r w:rsidR="00E401FB">
        <w:rPr>
          <w:rFonts w:ascii="TimesNewRomanPSMT" w:eastAsia="Times New Roman" w:hAnsi="TimesNewRomanPSMT" w:cs="TimesNewRomanPSMT"/>
          <w:sz w:val="24"/>
          <w:szCs w:val="24"/>
        </w:rPr>
        <w:t xml:space="preserve"> state inter</w:t>
      </w:r>
      <w:r w:rsidR="00797777">
        <w:rPr>
          <w:rFonts w:ascii="TimesNewRomanPSMT" w:eastAsia="Times New Roman" w:hAnsi="TimesNewRomanPSMT" w:cs="TimesNewRomanPSMT"/>
          <w:sz w:val="24"/>
          <w:szCs w:val="24"/>
        </w:rPr>
        <w:t>e</w:t>
      </w:r>
      <w:r w:rsidR="00E401FB">
        <w:rPr>
          <w:rFonts w:ascii="TimesNewRomanPSMT" w:eastAsia="Times New Roman" w:hAnsi="TimesNewRomanPSMT" w:cs="TimesNewRomanPSMT"/>
          <w:sz w:val="24"/>
          <w:szCs w:val="24"/>
        </w:rPr>
        <w:t xml:space="preserve">st for the requirement. See </w:t>
      </w:r>
      <w:r w:rsidR="00E401FB" w:rsidRPr="006E15DB">
        <w:rPr>
          <w:rFonts w:ascii="TimesNewRomanPSMT" w:eastAsia="Times New Roman" w:hAnsi="TimesNewRomanPSMT" w:cs="TimesNewRomanPSMT"/>
          <w:i/>
          <w:sz w:val="24"/>
          <w:szCs w:val="24"/>
        </w:rPr>
        <w:t>Shap</w:t>
      </w:r>
      <w:r w:rsidR="006E15DB" w:rsidRPr="006E15DB">
        <w:rPr>
          <w:rFonts w:ascii="TimesNewRomanPSMT" w:eastAsia="Times New Roman" w:hAnsi="TimesNewRomanPSMT" w:cs="TimesNewRomanPSMT"/>
          <w:i/>
          <w:sz w:val="24"/>
          <w:szCs w:val="24"/>
        </w:rPr>
        <w:t>i</w:t>
      </w:r>
      <w:r w:rsidR="00E401FB" w:rsidRPr="006E15DB">
        <w:rPr>
          <w:rFonts w:ascii="TimesNewRomanPSMT" w:eastAsia="Times New Roman" w:hAnsi="TimesNewRomanPSMT" w:cs="TimesNewRomanPSMT"/>
          <w:i/>
          <w:sz w:val="24"/>
          <w:szCs w:val="24"/>
        </w:rPr>
        <w:t xml:space="preserve">ro v. </w:t>
      </w:r>
    </w:p>
    <w:p w:rsidR="00E429E4" w:rsidRDefault="00E429E4" w:rsidP="00580565">
      <w:pPr>
        <w:autoSpaceDE w:val="0"/>
        <w:autoSpaceDN w:val="0"/>
        <w:adjustRightInd w:val="0"/>
        <w:spacing w:after="0" w:line="240" w:lineRule="auto"/>
        <w:rPr>
          <w:rFonts w:ascii="TimesNewRomanPSMT" w:eastAsia="Times New Roman" w:hAnsi="TimesNewRomanPSMT" w:cs="TimesNewRomanPSMT"/>
          <w:i/>
          <w:sz w:val="24"/>
          <w:szCs w:val="24"/>
        </w:rPr>
      </w:pPr>
    </w:p>
    <w:p w:rsidR="00E429E4" w:rsidRDefault="00E429E4" w:rsidP="00580565">
      <w:pPr>
        <w:autoSpaceDE w:val="0"/>
        <w:autoSpaceDN w:val="0"/>
        <w:adjustRightInd w:val="0"/>
        <w:spacing w:after="0" w:line="240" w:lineRule="auto"/>
        <w:rPr>
          <w:rFonts w:ascii="TimesNewRomanPSMT" w:eastAsia="Times New Roman" w:hAnsi="TimesNewRomanPSMT" w:cs="TimesNewRomanPSMT"/>
          <w:i/>
          <w:sz w:val="24"/>
          <w:szCs w:val="24"/>
        </w:rPr>
      </w:pPr>
    </w:p>
    <w:p w:rsidR="00E429E4" w:rsidRDefault="00E429E4" w:rsidP="00580565">
      <w:pPr>
        <w:autoSpaceDE w:val="0"/>
        <w:autoSpaceDN w:val="0"/>
        <w:adjustRightInd w:val="0"/>
        <w:spacing w:after="0" w:line="240" w:lineRule="auto"/>
        <w:rPr>
          <w:rFonts w:ascii="TimesNewRomanPSMT" w:eastAsia="Times New Roman" w:hAnsi="TimesNewRomanPSMT" w:cs="TimesNewRomanPSMT"/>
          <w:i/>
          <w:sz w:val="24"/>
          <w:szCs w:val="24"/>
        </w:rPr>
      </w:pPr>
    </w:p>
    <w:p w:rsidR="00E429E4" w:rsidRDefault="00E429E4" w:rsidP="00580565">
      <w:pPr>
        <w:autoSpaceDE w:val="0"/>
        <w:autoSpaceDN w:val="0"/>
        <w:adjustRightInd w:val="0"/>
        <w:spacing w:after="0" w:line="240" w:lineRule="auto"/>
        <w:rPr>
          <w:rFonts w:ascii="TimesNewRomanPSMT" w:eastAsia="Times New Roman" w:hAnsi="TimesNewRomanPSMT" w:cs="TimesNewRomanPSMT"/>
          <w:i/>
          <w:sz w:val="24"/>
          <w:szCs w:val="24"/>
        </w:rPr>
      </w:pPr>
    </w:p>
    <w:p w:rsidR="00BB25F4" w:rsidRDefault="00E401FB" w:rsidP="00580565">
      <w:pPr>
        <w:autoSpaceDE w:val="0"/>
        <w:autoSpaceDN w:val="0"/>
        <w:adjustRightInd w:val="0"/>
        <w:spacing w:after="0" w:line="240" w:lineRule="auto"/>
        <w:rPr>
          <w:rFonts w:ascii="TimesNewRomanPSMT" w:eastAsia="Times New Roman" w:hAnsi="TimesNewRomanPSMT" w:cs="TimesNewRomanPSMT"/>
          <w:sz w:val="24"/>
          <w:szCs w:val="24"/>
        </w:rPr>
      </w:pPr>
      <w:r w:rsidRPr="006E15DB">
        <w:rPr>
          <w:rFonts w:ascii="TimesNewRomanPSMT" w:eastAsia="Times New Roman" w:hAnsi="TimesNewRomanPSMT" w:cs="TimesNewRomanPSMT"/>
          <w:i/>
          <w:sz w:val="24"/>
          <w:szCs w:val="24"/>
        </w:rPr>
        <w:t>Thompson</w:t>
      </w:r>
      <w:r>
        <w:rPr>
          <w:rFonts w:ascii="TimesNewRomanPSMT" w:eastAsia="Times New Roman" w:hAnsi="TimesNewRomanPSMT" w:cs="TimesNewRomanPSMT"/>
          <w:sz w:val="24"/>
          <w:szCs w:val="24"/>
        </w:rPr>
        <w:t>, 394 U.S. 618 ((1969);</w:t>
      </w:r>
      <w:r w:rsidR="00797777">
        <w:rPr>
          <w:rFonts w:ascii="TimesNewRomanPSMT" w:eastAsia="Times New Roman" w:hAnsi="TimesNewRomanPSMT" w:cs="TimesNewRomanPSMT"/>
          <w:sz w:val="24"/>
          <w:szCs w:val="24"/>
        </w:rPr>
        <w:t xml:space="preserve"> </w:t>
      </w:r>
      <w:r w:rsidRPr="006E15DB">
        <w:rPr>
          <w:rFonts w:ascii="TimesNewRomanPSMT" w:eastAsia="Times New Roman" w:hAnsi="TimesNewRomanPSMT" w:cs="TimesNewRomanPSMT"/>
          <w:i/>
          <w:sz w:val="24"/>
          <w:szCs w:val="24"/>
        </w:rPr>
        <w:t>Saenz v. Roe</w:t>
      </w:r>
      <w:r>
        <w:rPr>
          <w:rFonts w:ascii="TimesNewRomanPSMT" w:eastAsia="Times New Roman" w:hAnsi="TimesNewRomanPSMT" w:cs="TimesNewRomanPSMT"/>
          <w:sz w:val="24"/>
          <w:szCs w:val="24"/>
        </w:rPr>
        <w:t>, 526 U.S. 489 (1999)</w:t>
      </w:r>
      <w:r w:rsidR="00756703">
        <w:rPr>
          <w:rFonts w:ascii="TimesNewRomanPSMT" w:eastAsia="Times New Roman" w:hAnsi="TimesNewRomanPSMT" w:cs="TimesNewRomanPSMT"/>
          <w:sz w:val="24"/>
          <w:szCs w:val="24"/>
        </w:rPr>
        <w:t xml:space="preserve"> and </w:t>
      </w:r>
      <w:r w:rsidR="00756703" w:rsidRPr="006E15DB">
        <w:rPr>
          <w:rFonts w:ascii="TimesNewRomanPSMT" w:eastAsia="Times New Roman" w:hAnsi="TimesNewRomanPSMT" w:cs="TimesNewRomanPSMT"/>
          <w:i/>
          <w:sz w:val="24"/>
          <w:szCs w:val="24"/>
        </w:rPr>
        <w:t xml:space="preserve">Dunn v. </w:t>
      </w:r>
      <w:proofErr w:type="spellStart"/>
      <w:r w:rsidR="00756703" w:rsidRPr="006E15DB">
        <w:rPr>
          <w:rFonts w:ascii="TimesNewRomanPSMT" w:eastAsia="Times New Roman" w:hAnsi="TimesNewRomanPSMT" w:cs="TimesNewRomanPSMT"/>
          <w:i/>
          <w:sz w:val="24"/>
          <w:szCs w:val="24"/>
        </w:rPr>
        <w:t>Blumstien</w:t>
      </w:r>
      <w:proofErr w:type="spellEnd"/>
      <w:r w:rsidR="00756703">
        <w:rPr>
          <w:rFonts w:ascii="TimesNewRomanPSMT" w:eastAsia="Times New Roman" w:hAnsi="TimesNewRomanPSMT" w:cs="TimesNewRomanPSMT"/>
          <w:sz w:val="24"/>
          <w:szCs w:val="24"/>
        </w:rPr>
        <w:t>, 405 U.S. 330 (1972).</w:t>
      </w:r>
      <w:r w:rsidR="00797777">
        <w:rPr>
          <w:rFonts w:ascii="TimesNewRomanPSMT" w:eastAsia="Times New Roman" w:hAnsi="TimesNewRomanPSMT" w:cs="TimesNewRomanPSMT"/>
          <w:sz w:val="24"/>
          <w:szCs w:val="24"/>
        </w:rPr>
        <w:t xml:space="preserve"> The constitutional problem often arises in </w:t>
      </w:r>
      <w:r w:rsidR="006E15DB">
        <w:rPr>
          <w:rFonts w:ascii="TimesNewRomanPSMT" w:eastAsia="Times New Roman" w:hAnsi="TimesNewRomanPSMT" w:cs="TimesNewRomanPSMT"/>
          <w:sz w:val="24"/>
          <w:szCs w:val="24"/>
        </w:rPr>
        <w:t>c</w:t>
      </w:r>
      <w:r w:rsidR="00797777">
        <w:rPr>
          <w:rFonts w:ascii="TimesNewRomanPSMT" w:eastAsia="Times New Roman" w:hAnsi="TimesNewRomanPSMT" w:cs="TimesNewRomanPSMT"/>
          <w:sz w:val="24"/>
          <w:szCs w:val="24"/>
        </w:rPr>
        <w:t>ase</w:t>
      </w:r>
      <w:r w:rsidR="006E15DB">
        <w:rPr>
          <w:rFonts w:ascii="TimesNewRomanPSMT" w:eastAsia="Times New Roman" w:hAnsi="TimesNewRomanPSMT" w:cs="TimesNewRomanPSMT"/>
          <w:sz w:val="24"/>
          <w:szCs w:val="24"/>
        </w:rPr>
        <w:t>s</w:t>
      </w:r>
      <w:r w:rsidR="00797777">
        <w:rPr>
          <w:rFonts w:ascii="TimesNewRomanPSMT" w:eastAsia="Times New Roman" w:hAnsi="TimesNewRomanPSMT" w:cs="TimesNewRomanPSMT"/>
          <w:sz w:val="24"/>
          <w:szCs w:val="24"/>
        </w:rPr>
        <w:t xml:space="preserve"> where a new resident attempts to exercise a right and the durational residency requirement deters the exercise of that right. These classifications are found to be invalid </w:t>
      </w:r>
      <w:r w:rsidR="00756703">
        <w:rPr>
          <w:rFonts w:ascii="TimesNewRomanPSMT" w:eastAsia="Times New Roman" w:hAnsi="TimesNewRomanPSMT" w:cs="TimesNewRomanPSMT"/>
          <w:sz w:val="24"/>
          <w:szCs w:val="24"/>
        </w:rPr>
        <w:t xml:space="preserve">under a strict scrutiny analysis </w:t>
      </w:r>
      <w:r w:rsidR="00797777">
        <w:rPr>
          <w:rFonts w:ascii="TimesNewRomanPSMT" w:eastAsia="Times New Roman" w:hAnsi="TimesNewRomanPSMT" w:cs="TimesNewRomanPSMT"/>
          <w:sz w:val="24"/>
          <w:szCs w:val="24"/>
        </w:rPr>
        <w:t>unless shown to be necessary to serve a compelling governmental inter</w:t>
      </w:r>
      <w:r w:rsidR="00756703">
        <w:rPr>
          <w:rFonts w:ascii="TimesNewRomanPSMT" w:eastAsia="Times New Roman" w:hAnsi="TimesNewRomanPSMT" w:cs="TimesNewRomanPSMT"/>
          <w:sz w:val="24"/>
          <w:szCs w:val="24"/>
        </w:rPr>
        <w:t>e</w:t>
      </w:r>
      <w:r w:rsidR="00797777">
        <w:rPr>
          <w:rFonts w:ascii="TimesNewRomanPSMT" w:eastAsia="Times New Roman" w:hAnsi="TimesNewRomanPSMT" w:cs="TimesNewRomanPSMT"/>
          <w:sz w:val="24"/>
          <w:szCs w:val="24"/>
        </w:rPr>
        <w:t>st</w:t>
      </w:r>
      <w:r w:rsidR="00756703">
        <w:rPr>
          <w:rFonts w:ascii="TimesNewRomanPSMT" w:eastAsia="Times New Roman" w:hAnsi="TimesNewRomanPSMT" w:cs="TimesNewRomanPSMT"/>
          <w:sz w:val="24"/>
          <w:szCs w:val="24"/>
        </w:rPr>
        <w:t xml:space="preserve">. </w:t>
      </w:r>
      <w:r w:rsidR="00797777">
        <w:rPr>
          <w:rFonts w:ascii="TimesNewRomanPSMT" w:eastAsia="Times New Roman" w:hAnsi="TimesNewRomanPSMT" w:cs="TimesNewRomanPSMT"/>
          <w:sz w:val="24"/>
          <w:szCs w:val="24"/>
        </w:rPr>
        <w:t xml:space="preserve"> </w:t>
      </w:r>
      <w:r w:rsidR="006E15DB">
        <w:rPr>
          <w:rFonts w:ascii="TimesNewRomanPSMT" w:eastAsia="Times New Roman" w:hAnsi="TimesNewRomanPSMT" w:cs="TimesNewRomanPSMT"/>
          <w:sz w:val="24"/>
          <w:szCs w:val="24"/>
        </w:rPr>
        <w:t>In case</w:t>
      </w:r>
      <w:r w:rsidR="00763838">
        <w:rPr>
          <w:rFonts w:ascii="TimesNewRomanPSMT" w:eastAsia="Times New Roman" w:hAnsi="TimesNewRomanPSMT" w:cs="TimesNewRomanPSMT"/>
          <w:sz w:val="24"/>
          <w:szCs w:val="24"/>
        </w:rPr>
        <w:t>s</w:t>
      </w:r>
      <w:r w:rsidR="006E15DB">
        <w:rPr>
          <w:rFonts w:ascii="TimesNewRomanPSMT" w:eastAsia="Times New Roman" w:hAnsi="TimesNewRomanPSMT" w:cs="TimesNewRomanPSMT"/>
          <w:sz w:val="24"/>
          <w:szCs w:val="24"/>
        </w:rPr>
        <w:t xml:space="preserve"> involving governmental benefits, courts have routinely found the durational residency requirements to be unconstitutional and not justified by a compelling state interest.</w:t>
      </w:r>
      <w:r w:rsidR="00763838">
        <w:rPr>
          <w:rFonts w:ascii="TimesNewRomanPSMT" w:eastAsia="Times New Roman" w:hAnsi="TimesNewRomanPSMT" w:cs="TimesNewRomanPSMT"/>
          <w:sz w:val="24"/>
          <w:szCs w:val="24"/>
        </w:rPr>
        <w:t xml:space="preserve"> </w:t>
      </w:r>
      <w:r w:rsidR="00763838" w:rsidRPr="00763838">
        <w:rPr>
          <w:rFonts w:ascii="TimesNewRomanPSMT" w:eastAsia="Times New Roman" w:hAnsi="TimesNewRomanPSMT" w:cs="TimesNewRomanPSMT"/>
          <w:i/>
          <w:sz w:val="24"/>
          <w:szCs w:val="24"/>
        </w:rPr>
        <w:t>Id</w:t>
      </w:r>
      <w:r w:rsidR="00763838">
        <w:rPr>
          <w:rFonts w:ascii="TimesNewRomanPSMT" w:eastAsia="Times New Roman" w:hAnsi="TimesNewRomanPSMT" w:cs="TimesNewRomanPSMT"/>
          <w:sz w:val="24"/>
          <w:szCs w:val="24"/>
        </w:rPr>
        <w:t>.</w:t>
      </w:r>
    </w:p>
    <w:p w:rsidR="00BB25F4" w:rsidRDefault="00BB25F4" w:rsidP="00580565">
      <w:pPr>
        <w:autoSpaceDE w:val="0"/>
        <w:autoSpaceDN w:val="0"/>
        <w:adjustRightInd w:val="0"/>
        <w:spacing w:after="0" w:line="240" w:lineRule="auto"/>
        <w:rPr>
          <w:rFonts w:ascii="TimesNewRomanPSMT" w:eastAsia="Times New Roman" w:hAnsi="TimesNewRomanPSMT" w:cs="TimesNewRomanPSMT"/>
          <w:sz w:val="24"/>
          <w:szCs w:val="24"/>
        </w:rPr>
      </w:pPr>
    </w:p>
    <w:p w:rsidR="008C4CFF" w:rsidRDefault="00BB25F4" w:rsidP="00580565">
      <w:pPr>
        <w:autoSpaceDE w:val="0"/>
        <w:autoSpaceDN w:val="0"/>
        <w:adjustRightInd w:val="0"/>
        <w:spacing w:after="0" w:line="240" w:lineRule="auto"/>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In this bill, it is diffic</w:t>
      </w:r>
      <w:r w:rsidR="00D86DC8">
        <w:rPr>
          <w:rFonts w:ascii="TimesNewRomanPSMT" w:eastAsia="Times New Roman" w:hAnsi="TimesNewRomanPSMT" w:cs="TimesNewRomanPSMT"/>
          <w:sz w:val="24"/>
          <w:szCs w:val="24"/>
        </w:rPr>
        <w:t>ul</w:t>
      </w:r>
      <w:r>
        <w:rPr>
          <w:rFonts w:ascii="TimesNewRomanPSMT" w:eastAsia="Times New Roman" w:hAnsi="TimesNewRomanPSMT" w:cs="TimesNewRomanPSMT"/>
          <w:sz w:val="24"/>
          <w:szCs w:val="24"/>
        </w:rPr>
        <w:t>t to justify why the</w:t>
      </w:r>
      <w:r w:rsidR="00D86DC8">
        <w:rPr>
          <w:rFonts w:ascii="TimesNewRomanPSMT" w:eastAsia="Times New Roman" w:hAnsi="TimesNewRomanPSMT" w:cs="TimesNewRomanPSMT"/>
          <w:sz w:val="24"/>
          <w:szCs w:val="24"/>
        </w:rPr>
        <w:t xml:space="preserve"> durational</w:t>
      </w:r>
      <w:r>
        <w:rPr>
          <w:rFonts w:ascii="TimesNewRomanPSMT" w:eastAsia="Times New Roman" w:hAnsi="TimesNewRomanPSMT" w:cs="TimesNewRomanPSMT"/>
          <w:sz w:val="24"/>
          <w:szCs w:val="24"/>
        </w:rPr>
        <w:t xml:space="preserve"> residency requirement is necessary</w:t>
      </w:r>
      <w:r w:rsidR="00D86DC8">
        <w:rPr>
          <w:rFonts w:ascii="TimesNewRomanPSMT" w:eastAsia="Times New Roman" w:hAnsi="TimesNewRomanPSMT" w:cs="TimesNewRomanPSMT"/>
          <w:sz w:val="24"/>
          <w:szCs w:val="24"/>
        </w:rPr>
        <w:t>.</w:t>
      </w:r>
      <w:r>
        <w:rPr>
          <w:rFonts w:ascii="TimesNewRomanPSMT" w:eastAsia="Times New Roman" w:hAnsi="TimesNewRomanPSMT" w:cs="TimesNewRomanPSMT"/>
          <w:sz w:val="24"/>
          <w:szCs w:val="24"/>
        </w:rPr>
        <w:t xml:space="preserve"> </w:t>
      </w:r>
      <w:r w:rsidR="00D86DC8">
        <w:rPr>
          <w:rFonts w:ascii="TimesNewRomanPSMT" w:eastAsia="Times New Roman" w:hAnsi="TimesNewRomanPSMT" w:cs="TimesNewRomanPSMT"/>
          <w:sz w:val="24"/>
          <w:szCs w:val="24"/>
        </w:rPr>
        <w:t xml:space="preserve">How does it serve the government’s interest to require ten or fifteen years of city residency before the home is eligible for a repair </w:t>
      </w:r>
      <w:proofErr w:type="gramStart"/>
      <w:r w:rsidR="00D86DC8">
        <w:rPr>
          <w:rFonts w:ascii="TimesNewRomanPSMT" w:eastAsia="Times New Roman" w:hAnsi="TimesNewRomanPSMT" w:cs="TimesNewRomanPSMT"/>
          <w:sz w:val="24"/>
          <w:szCs w:val="24"/>
        </w:rPr>
        <w:t>grant.</w:t>
      </w:r>
      <w:proofErr w:type="gramEnd"/>
      <w:r w:rsidR="00D86DC8">
        <w:rPr>
          <w:rFonts w:ascii="TimesNewRomanPSMT" w:eastAsia="Times New Roman" w:hAnsi="TimesNewRomanPSMT" w:cs="TimesNewRomanPSMT"/>
          <w:sz w:val="24"/>
          <w:szCs w:val="24"/>
        </w:rPr>
        <w:t xml:space="preserve"> If the home needs repair and the owner needs financial assistance to do </w:t>
      </w:r>
      <w:proofErr w:type="gramStart"/>
      <w:r w:rsidR="00D86DC8">
        <w:rPr>
          <w:rFonts w:ascii="TimesNewRomanPSMT" w:eastAsia="Times New Roman" w:hAnsi="TimesNewRomanPSMT" w:cs="TimesNewRomanPSMT"/>
          <w:sz w:val="24"/>
          <w:szCs w:val="24"/>
        </w:rPr>
        <w:t>so ,the</w:t>
      </w:r>
      <w:proofErr w:type="gramEnd"/>
      <w:r w:rsidR="00D86DC8">
        <w:rPr>
          <w:rFonts w:ascii="TimesNewRomanPSMT" w:eastAsia="Times New Roman" w:hAnsi="TimesNewRomanPSMT" w:cs="TimesNewRomanPSMT"/>
          <w:sz w:val="24"/>
          <w:szCs w:val="24"/>
        </w:rPr>
        <w:t xml:space="preserve"> government’ s interest is served by  allowing application for the grant regardless of the length of residency.</w:t>
      </w:r>
      <w:r>
        <w:rPr>
          <w:rFonts w:ascii="TimesNewRomanPSMT" w:eastAsia="Times New Roman" w:hAnsi="TimesNewRomanPSMT" w:cs="TimesNewRomanPSMT"/>
          <w:sz w:val="24"/>
          <w:szCs w:val="24"/>
        </w:rPr>
        <w:t xml:space="preserve"> </w:t>
      </w:r>
      <w:r w:rsidR="00D86DC8">
        <w:rPr>
          <w:rFonts w:ascii="TimesNewRomanPSMT" w:eastAsia="Times New Roman" w:hAnsi="TimesNewRomanPSMT" w:cs="TimesNewRomanPSMT"/>
          <w:sz w:val="24"/>
          <w:szCs w:val="24"/>
        </w:rPr>
        <w:t xml:space="preserve"> The purported purpose of the bill to revitalize and stabilize Baltimore’s neighborhoods will be served without the residency restrictions. </w:t>
      </w:r>
      <w:r>
        <w:rPr>
          <w:rFonts w:ascii="TimesNewRomanPSMT" w:eastAsia="Times New Roman" w:hAnsi="TimesNewRomanPSMT" w:cs="TimesNewRomanPSMT"/>
          <w:sz w:val="24"/>
          <w:szCs w:val="24"/>
        </w:rPr>
        <w:t>The three remaining categories of applicants remain intact in the bill.</w:t>
      </w:r>
    </w:p>
    <w:p w:rsidR="006E15DB" w:rsidRDefault="006E15DB" w:rsidP="00580565">
      <w:pPr>
        <w:autoSpaceDE w:val="0"/>
        <w:autoSpaceDN w:val="0"/>
        <w:adjustRightInd w:val="0"/>
        <w:spacing w:after="0" w:line="240" w:lineRule="auto"/>
        <w:rPr>
          <w:rFonts w:ascii="TimesNewRomanPSMT" w:eastAsia="Times New Roman" w:hAnsi="TimesNewRomanPSMT" w:cs="TimesNewRomanPSMT"/>
          <w:sz w:val="24"/>
          <w:szCs w:val="24"/>
        </w:rPr>
      </w:pPr>
    </w:p>
    <w:p w:rsidR="006E15DB" w:rsidRDefault="006E15DB" w:rsidP="00580565">
      <w:pPr>
        <w:autoSpaceDE w:val="0"/>
        <w:autoSpaceDN w:val="0"/>
        <w:adjustRightInd w:val="0"/>
        <w:spacing w:after="0" w:line="240" w:lineRule="auto"/>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The Law Department therefore cannot approve t</w:t>
      </w:r>
      <w:r w:rsidR="00E429E4">
        <w:rPr>
          <w:rFonts w:ascii="TimesNewRomanPSMT" w:eastAsia="Times New Roman" w:hAnsi="TimesNewRomanPSMT" w:cs="TimesNewRomanPSMT"/>
          <w:sz w:val="24"/>
          <w:szCs w:val="24"/>
        </w:rPr>
        <w:t>h</w:t>
      </w:r>
      <w:r>
        <w:rPr>
          <w:rFonts w:ascii="TimesNewRomanPSMT" w:eastAsia="Times New Roman" w:hAnsi="TimesNewRomanPSMT" w:cs="TimesNewRomanPSMT"/>
          <w:sz w:val="24"/>
          <w:szCs w:val="24"/>
        </w:rPr>
        <w:t>is bill unless it is amended to rem</w:t>
      </w:r>
      <w:r w:rsidR="00E429E4">
        <w:rPr>
          <w:rFonts w:ascii="TimesNewRomanPSMT" w:eastAsia="Times New Roman" w:hAnsi="TimesNewRomanPSMT" w:cs="TimesNewRomanPSMT"/>
          <w:sz w:val="24"/>
          <w:szCs w:val="24"/>
        </w:rPr>
        <w:t>o</w:t>
      </w:r>
      <w:r>
        <w:rPr>
          <w:rFonts w:ascii="TimesNewRomanPSMT" w:eastAsia="Times New Roman" w:hAnsi="TimesNewRomanPSMT" w:cs="TimesNewRomanPSMT"/>
          <w:sz w:val="24"/>
          <w:szCs w:val="24"/>
        </w:rPr>
        <w:t xml:space="preserve">ve lines 6-24 </w:t>
      </w:r>
      <w:r w:rsidR="00E429E4">
        <w:rPr>
          <w:rFonts w:ascii="TimesNewRomanPSMT" w:eastAsia="Times New Roman" w:hAnsi="TimesNewRomanPSMT" w:cs="TimesNewRomanPSMT"/>
          <w:sz w:val="24"/>
          <w:szCs w:val="24"/>
        </w:rPr>
        <w:t>on</w:t>
      </w:r>
      <w:r>
        <w:rPr>
          <w:rFonts w:ascii="TimesNewRomanPSMT" w:eastAsia="Times New Roman" w:hAnsi="TimesNewRomanPSMT" w:cs="TimesNewRomanPSMT"/>
          <w:sz w:val="24"/>
          <w:szCs w:val="24"/>
        </w:rPr>
        <w:t xml:space="preserve"> page 4.</w:t>
      </w:r>
      <w:r w:rsidR="00E429E4">
        <w:rPr>
          <w:rFonts w:ascii="TimesNewRomanPSMT" w:eastAsia="Times New Roman" w:hAnsi="TimesNewRomanPSMT" w:cs="TimesNewRomanPSMT"/>
          <w:sz w:val="24"/>
          <w:szCs w:val="24"/>
        </w:rPr>
        <w:t xml:space="preserve">  The Law Department also recommends that Sec. 6D-6 be amended clarify that the applications shall be prioritized based on the categories listed in that section and in the order listed with the first factor receiving the highest priority and the last factor having the lowest priority.</w:t>
      </w:r>
    </w:p>
    <w:p w:rsidR="000A487E" w:rsidRDefault="000A487E" w:rsidP="00580565">
      <w:pPr>
        <w:autoSpaceDE w:val="0"/>
        <w:autoSpaceDN w:val="0"/>
        <w:adjustRightInd w:val="0"/>
        <w:spacing w:after="0" w:line="240" w:lineRule="auto"/>
        <w:rPr>
          <w:rFonts w:ascii="TimesNewRomanPSMT" w:eastAsia="Times New Roman" w:hAnsi="TimesNewRomanPSMT" w:cs="TimesNewRomanPSMT"/>
          <w:sz w:val="24"/>
          <w:szCs w:val="24"/>
        </w:rPr>
      </w:pPr>
    </w:p>
    <w:p w:rsidR="00580565" w:rsidRPr="006C6AD7" w:rsidRDefault="00E429E4" w:rsidP="005805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r w:rsidR="00024843">
        <w:rPr>
          <w:rFonts w:ascii="Times New Roman" w:eastAsia="Times New Roman" w:hAnsi="Times New Roman" w:cs="Times New Roman"/>
          <w:sz w:val="24"/>
          <w:szCs w:val="24"/>
        </w:rPr>
        <w:t>City Council Bill 21-01</w:t>
      </w:r>
      <w:r w:rsidR="00763838">
        <w:rPr>
          <w:rFonts w:ascii="Times New Roman" w:eastAsia="Times New Roman" w:hAnsi="Times New Roman" w:cs="Times New Roman"/>
          <w:sz w:val="24"/>
          <w:szCs w:val="24"/>
        </w:rPr>
        <w:t>73</w:t>
      </w:r>
      <w:r w:rsidR="00024843">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amended as provided above, t</w:t>
      </w:r>
      <w:r w:rsidR="00580565" w:rsidRPr="006C6AD7">
        <w:rPr>
          <w:rFonts w:ascii="Times New Roman" w:eastAsia="Times New Roman" w:hAnsi="Times New Roman" w:cs="Times New Roman"/>
          <w:sz w:val="24"/>
          <w:szCs w:val="24"/>
        </w:rPr>
        <w:t>he Law Department</w:t>
      </w:r>
      <w:r>
        <w:rPr>
          <w:rFonts w:ascii="Times New Roman" w:eastAsia="Times New Roman" w:hAnsi="Times New Roman" w:cs="Times New Roman"/>
          <w:sz w:val="24"/>
          <w:szCs w:val="24"/>
        </w:rPr>
        <w:t xml:space="preserve"> could approve it </w:t>
      </w:r>
      <w:r w:rsidR="00580565" w:rsidRPr="006C6AD7">
        <w:rPr>
          <w:rFonts w:ascii="Times New Roman" w:eastAsia="Times New Roman" w:hAnsi="Times New Roman" w:cs="Times New Roman"/>
          <w:sz w:val="24"/>
          <w:szCs w:val="24"/>
        </w:rPr>
        <w:t>for form and legal sufficiency</w:t>
      </w:r>
      <w:r w:rsidR="00024843">
        <w:rPr>
          <w:rFonts w:ascii="Times New Roman" w:eastAsia="Times New Roman" w:hAnsi="Times New Roman" w:cs="Times New Roman"/>
          <w:sz w:val="24"/>
          <w:szCs w:val="24"/>
        </w:rPr>
        <w:t>.</w:t>
      </w:r>
    </w:p>
    <w:p w:rsidR="00580565" w:rsidRPr="006C6AD7" w:rsidRDefault="00580565" w:rsidP="00580565">
      <w:pPr>
        <w:spacing w:after="0" w:line="240" w:lineRule="auto"/>
        <w:jc w:val="both"/>
        <w:rPr>
          <w:rFonts w:ascii="Times New Roman" w:eastAsia="Times New Roman" w:hAnsi="Times New Roman" w:cs="Times New Roman"/>
          <w:sz w:val="24"/>
          <w:szCs w:val="24"/>
        </w:rPr>
      </w:pPr>
      <w:r w:rsidRPr="006C6AD7">
        <w:rPr>
          <w:rFonts w:ascii="Times New Roman" w:eastAsia="Times New Roman" w:hAnsi="Times New Roman" w:cs="Times New Roman"/>
          <w:sz w:val="24"/>
          <w:szCs w:val="24"/>
        </w:rPr>
        <w:t xml:space="preserve"> </w:t>
      </w:r>
    </w:p>
    <w:p w:rsidR="00580565" w:rsidRPr="006C6AD7" w:rsidRDefault="00580565" w:rsidP="00580565">
      <w:pPr>
        <w:tabs>
          <w:tab w:val="left" w:pos="720"/>
          <w:tab w:val="center" w:pos="4320"/>
          <w:tab w:val="right" w:pos="8640"/>
        </w:tabs>
        <w:spacing w:after="0" w:line="240" w:lineRule="auto"/>
        <w:rPr>
          <w:rFonts w:ascii="Times New Roman" w:eastAsia="Times New Roman" w:hAnsi="Times New Roman" w:cs="Times New Roman"/>
          <w:sz w:val="24"/>
          <w:szCs w:val="24"/>
        </w:rPr>
      </w:pPr>
    </w:p>
    <w:p w:rsidR="00580565" w:rsidRPr="006C6AD7" w:rsidRDefault="00580565" w:rsidP="00580565">
      <w:pPr>
        <w:tabs>
          <w:tab w:val="left" w:pos="720"/>
          <w:tab w:val="center" w:pos="4320"/>
          <w:tab w:val="right" w:pos="8640"/>
        </w:tabs>
        <w:spacing w:after="0" w:line="240" w:lineRule="auto"/>
        <w:ind w:left="3600" w:firstLine="720"/>
        <w:rPr>
          <w:rFonts w:ascii="Times New Roman" w:eastAsia="Times New Roman" w:hAnsi="Times New Roman" w:cs="Times New Roman"/>
          <w:sz w:val="24"/>
          <w:szCs w:val="24"/>
        </w:rPr>
      </w:pPr>
      <w:r w:rsidRPr="006C6AD7">
        <w:rPr>
          <w:rFonts w:ascii="Times New Roman" w:eastAsia="Times New Roman" w:hAnsi="Times New Roman" w:cs="Times New Roman"/>
          <w:sz w:val="24"/>
          <w:szCs w:val="24"/>
        </w:rPr>
        <w:t>Sincerely,</w:t>
      </w:r>
    </w:p>
    <w:p w:rsidR="00580565" w:rsidRPr="006C6AD7" w:rsidRDefault="00580565" w:rsidP="00580565">
      <w:pPr>
        <w:tabs>
          <w:tab w:val="left" w:pos="720"/>
          <w:tab w:val="center" w:pos="4320"/>
          <w:tab w:val="right" w:pos="8640"/>
        </w:tabs>
        <w:spacing w:after="0" w:line="240" w:lineRule="auto"/>
        <w:ind w:left="3600" w:firstLine="720"/>
        <w:rPr>
          <w:rFonts w:ascii="Times New Roman" w:eastAsia="Times New Roman" w:hAnsi="Times New Roman" w:cs="Times New Roman"/>
          <w:sz w:val="24"/>
          <w:szCs w:val="24"/>
        </w:rPr>
      </w:pPr>
    </w:p>
    <w:p w:rsidR="00580565" w:rsidRPr="006C6AD7" w:rsidRDefault="00800E20" w:rsidP="00580565">
      <w:pPr>
        <w:tabs>
          <w:tab w:val="left" w:pos="720"/>
          <w:tab w:val="center" w:pos="4320"/>
          <w:tab w:val="right" w:pos="8640"/>
        </w:tabs>
        <w:spacing w:after="0" w:line="240" w:lineRule="auto"/>
        <w:ind w:left="3600" w:firstLine="720"/>
        <w:rPr>
          <w:rFonts w:ascii="Times New Roman" w:eastAsia="Times New Roman" w:hAnsi="Times New Roman" w:cs="Times New Roman"/>
          <w:sz w:val="24"/>
          <w:szCs w:val="24"/>
        </w:rPr>
      </w:pPr>
      <w:r>
        <w:rPr>
          <w:noProof/>
        </w:rPr>
        <w:drawing>
          <wp:inline distT="0" distB="0" distL="0" distR="0" wp14:anchorId="0B3310BD" wp14:editId="4115E918">
            <wp:extent cx="155257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52575" cy="447675"/>
                    </a:xfrm>
                    <a:prstGeom prst="rect">
                      <a:avLst/>
                    </a:prstGeom>
                  </pic:spPr>
                </pic:pic>
              </a:graphicData>
            </a:graphic>
          </wp:inline>
        </w:drawing>
      </w:r>
    </w:p>
    <w:p w:rsidR="00580565" w:rsidRPr="006C6AD7" w:rsidRDefault="00580565" w:rsidP="00580565">
      <w:pPr>
        <w:tabs>
          <w:tab w:val="left" w:pos="720"/>
          <w:tab w:val="center" w:pos="4320"/>
          <w:tab w:val="right" w:pos="8640"/>
        </w:tabs>
        <w:spacing w:after="0" w:line="240" w:lineRule="auto"/>
        <w:ind w:left="3600" w:firstLine="720"/>
        <w:rPr>
          <w:rFonts w:ascii="Times New Roman" w:eastAsia="Times New Roman" w:hAnsi="Times New Roman" w:cs="Times New Roman"/>
          <w:sz w:val="24"/>
          <w:szCs w:val="24"/>
        </w:rPr>
      </w:pPr>
      <w:r w:rsidRPr="006C6AD7">
        <w:rPr>
          <w:rFonts w:ascii="Times New Roman" w:eastAsia="Times New Roman" w:hAnsi="Times New Roman" w:cs="Times New Roman"/>
          <w:sz w:val="24"/>
          <w:szCs w:val="24"/>
        </w:rPr>
        <w:t>Elena R. DiPietro</w:t>
      </w:r>
    </w:p>
    <w:p w:rsidR="00580565" w:rsidRPr="006C6AD7" w:rsidRDefault="00580565" w:rsidP="00580565">
      <w:pPr>
        <w:tabs>
          <w:tab w:val="left" w:pos="720"/>
          <w:tab w:val="center" w:pos="4320"/>
          <w:tab w:val="right" w:pos="8640"/>
        </w:tabs>
        <w:spacing w:after="0" w:line="240" w:lineRule="auto"/>
        <w:ind w:left="3600" w:firstLine="720"/>
        <w:rPr>
          <w:rFonts w:ascii="Times New Roman" w:eastAsia="Times New Roman" w:hAnsi="Times New Roman" w:cs="Times New Roman"/>
          <w:sz w:val="24"/>
          <w:szCs w:val="24"/>
        </w:rPr>
      </w:pPr>
      <w:r w:rsidRPr="006C6AD7">
        <w:rPr>
          <w:rFonts w:ascii="Times New Roman" w:eastAsia="Times New Roman" w:hAnsi="Times New Roman" w:cs="Times New Roman"/>
          <w:sz w:val="24"/>
          <w:szCs w:val="24"/>
        </w:rPr>
        <w:t>Chief Solicitor</w:t>
      </w:r>
    </w:p>
    <w:p w:rsidR="00580565" w:rsidRPr="006C6AD7" w:rsidRDefault="00580565" w:rsidP="00580565">
      <w:pPr>
        <w:tabs>
          <w:tab w:val="left" w:pos="720"/>
          <w:tab w:val="center" w:pos="4320"/>
          <w:tab w:val="right" w:pos="8640"/>
        </w:tabs>
        <w:spacing w:after="0" w:line="240" w:lineRule="auto"/>
        <w:ind w:left="3600" w:firstLine="720"/>
        <w:rPr>
          <w:rFonts w:ascii="Times New Roman" w:eastAsia="Times New Roman" w:hAnsi="Times New Roman" w:cs="Times New Roman"/>
          <w:sz w:val="24"/>
          <w:szCs w:val="24"/>
        </w:rPr>
      </w:pPr>
    </w:p>
    <w:p w:rsidR="00D208BE" w:rsidRDefault="00D208BE" w:rsidP="00580565">
      <w:pPr>
        <w:tabs>
          <w:tab w:val="left" w:pos="720"/>
          <w:tab w:val="center" w:pos="4320"/>
          <w:tab w:val="right" w:pos="8640"/>
        </w:tabs>
        <w:spacing w:after="0" w:line="240" w:lineRule="auto"/>
        <w:rPr>
          <w:rFonts w:ascii="Times New Roman" w:eastAsia="Times New Roman" w:hAnsi="Times New Roman" w:cs="Times New Roman"/>
          <w:sz w:val="24"/>
          <w:szCs w:val="24"/>
        </w:rPr>
      </w:pPr>
    </w:p>
    <w:p w:rsidR="00024843" w:rsidRDefault="00024843" w:rsidP="00580565">
      <w:pPr>
        <w:tabs>
          <w:tab w:val="left" w:pos="720"/>
          <w:tab w:val="center" w:pos="4320"/>
          <w:tab w:val="right" w:pos="8640"/>
        </w:tabs>
        <w:spacing w:after="0" w:line="240" w:lineRule="auto"/>
        <w:rPr>
          <w:rFonts w:ascii="Times New Roman" w:eastAsia="Times New Roman" w:hAnsi="Times New Roman" w:cs="Times New Roman"/>
          <w:sz w:val="24"/>
          <w:szCs w:val="24"/>
        </w:rPr>
      </w:pPr>
    </w:p>
    <w:p w:rsidR="00024843" w:rsidRDefault="00024843" w:rsidP="00580565">
      <w:pPr>
        <w:tabs>
          <w:tab w:val="left" w:pos="720"/>
          <w:tab w:val="center" w:pos="4320"/>
          <w:tab w:val="right" w:pos="8640"/>
        </w:tabs>
        <w:spacing w:after="0" w:line="240" w:lineRule="auto"/>
        <w:rPr>
          <w:rFonts w:ascii="Times New Roman" w:eastAsia="Times New Roman" w:hAnsi="Times New Roman" w:cs="Times New Roman"/>
          <w:sz w:val="24"/>
          <w:szCs w:val="24"/>
        </w:rPr>
      </w:pPr>
    </w:p>
    <w:p w:rsidR="00580565" w:rsidRDefault="00580565" w:rsidP="00580565">
      <w:pPr>
        <w:tabs>
          <w:tab w:val="left" w:pos="720"/>
          <w:tab w:val="center" w:pos="4320"/>
          <w:tab w:val="right" w:pos="8640"/>
        </w:tabs>
        <w:spacing w:after="0" w:line="240" w:lineRule="auto"/>
        <w:rPr>
          <w:rFonts w:ascii="Times New Roman" w:eastAsia="Times New Roman" w:hAnsi="Times New Roman" w:cs="Times New Roman"/>
          <w:sz w:val="24"/>
          <w:szCs w:val="24"/>
        </w:rPr>
      </w:pPr>
      <w:r w:rsidRPr="006C6AD7">
        <w:rPr>
          <w:rFonts w:ascii="Times New Roman" w:eastAsia="Times New Roman" w:hAnsi="Times New Roman" w:cs="Times New Roman"/>
          <w:sz w:val="24"/>
          <w:szCs w:val="24"/>
        </w:rPr>
        <w:t xml:space="preserve">Cc:     </w:t>
      </w:r>
      <w:r w:rsidR="004F54BD">
        <w:rPr>
          <w:rFonts w:ascii="Times New Roman" w:eastAsia="Times New Roman" w:hAnsi="Times New Roman" w:cs="Times New Roman"/>
          <w:sz w:val="24"/>
          <w:szCs w:val="24"/>
        </w:rPr>
        <w:t xml:space="preserve">  </w:t>
      </w:r>
      <w:r w:rsidRPr="006C6AD7">
        <w:rPr>
          <w:rFonts w:ascii="Times New Roman" w:eastAsia="Times New Roman" w:hAnsi="Times New Roman" w:cs="Times New Roman"/>
          <w:sz w:val="24"/>
          <w:szCs w:val="24"/>
        </w:rPr>
        <w:t xml:space="preserve"> James Shea, City Solicitor</w:t>
      </w:r>
    </w:p>
    <w:p w:rsidR="00EA27AB" w:rsidRDefault="00EA27AB" w:rsidP="00580565">
      <w:pPr>
        <w:tabs>
          <w:tab w:val="left" w:pos="720"/>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Darnell Ingram, Deputy Solicitor</w:t>
      </w:r>
    </w:p>
    <w:p w:rsidR="00EA27AB" w:rsidRDefault="00EA27AB" w:rsidP="00580565">
      <w:pPr>
        <w:tabs>
          <w:tab w:val="left" w:pos="720"/>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Stephen Salsbury, Chief of Staff</w:t>
      </w:r>
    </w:p>
    <w:p w:rsidR="00EA27AB" w:rsidRPr="006C6AD7" w:rsidRDefault="00EA27AB" w:rsidP="00580565">
      <w:pPr>
        <w:tabs>
          <w:tab w:val="left" w:pos="720"/>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Natasha Mehu, Director. MOGR</w:t>
      </w:r>
    </w:p>
    <w:p w:rsidR="00580565" w:rsidRDefault="00580565" w:rsidP="00580565">
      <w:pPr>
        <w:tabs>
          <w:tab w:val="left" w:pos="720"/>
          <w:tab w:val="center" w:pos="4320"/>
          <w:tab w:val="right" w:pos="8640"/>
        </w:tabs>
        <w:spacing w:after="0" w:line="240" w:lineRule="auto"/>
        <w:rPr>
          <w:rFonts w:ascii="Times New Roman" w:eastAsia="Times New Roman" w:hAnsi="Times New Roman" w:cs="Times New Roman"/>
          <w:sz w:val="24"/>
          <w:szCs w:val="24"/>
        </w:rPr>
      </w:pPr>
      <w:r w:rsidRPr="006C6AD7">
        <w:rPr>
          <w:rFonts w:ascii="Times New Roman" w:eastAsia="Times New Roman" w:hAnsi="Times New Roman" w:cs="Times New Roman"/>
          <w:sz w:val="24"/>
          <w:szCs w:val="24"/>
        </w:rPr>
        <w:tab/>
      </w:r>
      <w:r w:rsidR="004F54BD">
        <w:rPr>
          <w:rFonts w:ascii="Times New Roman" w:eastAsia="Times New Roman" w:hAnsi="Times New Roman" w:cs="Times New Roman"/>
          <w:sz w:val="24"/>
          <w:szCs w:val="24"/>
        </w:rPr>
        <w:t xml:space="preserve"> </w:t>
      </w:r>
      <w:r w:rsidRPr="006C6AD7">
        <w:rPr>
          <w:rFonts w:ascii="Times New Roman" w:eastAsia="Times New Roman" w:hAnsi="Times New Roman" w:cs="Times New Roman"/>
          <w:sz w:val="24"/>
          <w:szCs w:val="24"/>
        </w:rPr>
        <w:t>Nina Them</w:t>
      </w:r>
      <w:r w:rsidR="004F54BD">
        <w:rPr>
          <w:rFonts w:ascii="Times New Roman" w:eastAsia="Times New Roman" w:hAnsi="Times New Roman" w:cs="Times New Roman"/>
          <w:sz w:val="24"/>
          <w:szCs w:val="24"/>
        </w:rPr>
        <w:t>e</w:t>
      </w:r>
      <w:r w:rsidRPr="006C6AD7">
        <w:rPr>
          <w:rFonts w:ascii="Times New Roman" w:eastAsia="Times New Roman" w:hAnsi="Times New Roman" w:cs="Times New Roman"/>
          <w:sz w:val="24"/>
          <w:szCs w:val="24"/>
        </w:rPr>
        <w:t>lis, Mayor’s Office of Government Relations</w:t>
      </w:r>
    </w:p>
    <w:p w:rsidR="004F54BD" w:rsidRPr="006C6AD7" w:rsidRDefault="004F54BD" w:rsidP="00580565">
      <w:pPr>
        <w:tabs>
          <w:tab w:val="left" w:pos="720"/>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Matthew Stegman, President’s Office</w:t>
      </w:r>
    </w:p>
    <w:p w:rsidR="00580565" w:rsidRPr="006C6AD7" w:rsidRDefault="00024843" w:rsidP="00580565">
      <w:pPr>
        <w:tabs>
          <w:tab w:val="left" w:pos="720"/>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0565" w:rsidRPr="006C6AD7">
        <w:rPr>
          <w:rFonts w:ascii="Times New Roman" w:eastAsia="Times New Roman" w:hAnsi="Times New Roman" w:cs="Times New Roman"/>
          <w:sz w:val="24"/>
          <w:szCs w:val="24"/>
        </w:rPr>
        <w:t>Nikki Thompson, President’s Legislative Liaison</w:t>
      </w:r>
    </w:p>
    <w:p w:rsidR="00580565" w:rsidRPr="006C6AD7" w:rsidRDefault="00024843" w:rsidP="00580565">
      <w:pPr>
        <w:tabs>
          <w:tab w:val="left" w:pos="720"/>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0565" w:rsidRPr="006C6AD7">
        <w:rPr>
          <w:rFonts w:ascii="Times New Roman" w:eastAsia="Times New Roman" w:hAnsi="Times New Roman" w:cs="Times New Roman"/>
          <w:sz w:val="24"/>
          <w:szCs w:val="24"/>
        </w:rPr>
        <w:t>Ashlea Brown, Special Solicitor</w:t>
      </w:r>
    </w:p>
    <w:p w:rsidR="00D208BE" w:rsidRDefault="00580565" w:rsidP="00800E20">
      <w:pPr>
        <w:tabs>
          <w:tab w:val="left" w:pos="720"/>
          <w:tab w:val="center" w:pos="4320"/>
          <w:tab w:val="right" w:pos="8640"/>
        </w:tabs>
        <w:spacing w:after="0" w:line="240" w:lineRule="auto"/>
        <w:rPr>
          <w:rFonts w:ascii="Times New Roman" w:eastAsia="Times New Roman" w:hAnsi="Times New Roman" w:cs="Times New Roman"/>
          <w:sz w:val="24"/>
          <w:szCs w:val="24"/>
        </w:rPr>
      </w:pPr>
      <w:r w:rsidRPr="006C6AD7">
        <w:rPr>
          <w:rFonts w:ascii="Times New Roman" w:eastAsia="Times New Roman" w:hAnsi="Times New Roman" w:cs="Times New Roman"/>
          <w:sz w:val="24"/>
          <w:szCs w:val="24"/>
        </w:rPr>
        <w:tab/>
      </w:r>
      <w:r w:rsidR="00024843">
        <w:rPr>
          <w:rFonts w:ascii="Times New Roman" w:eastAsia="Times New Roman" w:hAnsi="Times New Roman" w:cs="Times New Roman"/>
          <w:sz w:val="24"/>
          <w:szCs w:val="24"/>
        </w:rPr>
        <w:t xml:space="preserve"> </w:t>
      </w:r>
      <w:r w:rsidRPr="006C6AD7">
        <w:rPr>
          <w:rFonts w:ascii="Times New Roman" w:eastAsia="Times New Roman" w:hAnsi="Times New Roman" w:cs="Times New Roman"/>
          <w:sz w:val="24"/>
          <w:szCs w:val="24"/>
        </w:rPr>
        <w:t>Victor Tervala, Chief Solicitor</w:t>
      </w:r>
    </w:p>
    <w:p w:rsidR="00800E20" w:rsidRDefault="00D208BE" w:rsidP="00800E20">
      <w:pPr>
        <w:tabs>
          <w:tab w:val="left" w:pos="720"/>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00E20" w:rsidRPr="00800E20">
        <w:rPr>
          <w:rFonts w:ascii="Times New Roman" w:eastAsia="Times New Roman" w:hAnsi="Times New Roman" w:cs="Times New Roman"/>
          <w:sz w:val="24"/>
          <w:szCs w:val="24"/>
        </w:rPr>
        <w:t xml:space="preserve"> </w:t>
      </w:r>
      <w:r w:rsidR="00024843">
        <w:rPr>
          <w:rFonts w:ascii="Times New Roman" w:eastAsia="Times New Roman" w:hAnsi="Times New Roman" w:cs="Times New Roman"/>
          <w:sz w:val="24"/>
          <w:szCs w:val="24"/>
        </w:rPr>
        <w:t xml:space="preserve">  </w:t>
      </w:r>
      <w:r w:rsidR="00800E20" w:rsidRPr="006C6AD7">
        <w:rPr>
          <w:rFonts w:ascii="Times New Roman" w:eastAsia="Times New Roman" w:hAnsi="Times New Roman" w:cs="Times New Roman"/>
          <w:sz w:val="24"/>
          <w:szCs w:val="24"/>
        </w:rPr>
        <w:t>Hilary Ruley, Chief Solicitor</w:t>
      </w:r>
    </w:p>
    <w:p w:rsidR="00EA27AB" w:rsidRPr="006C6AD7" w:rsidRDefault="00EA27AB" w:rsidP="00800E20">
      <w:pPr>
        <w:tabs>
          <w:tab w:val="left" w:pos="720"/>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48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Dereka Bolden, Assistant Solicitor</w:t>
      </w:r>
    </w:p>
    <w:p w:rsidR="00800E20" w:rsidRPr="006C6AD7" w:rsidRDefault="00800E20" w:rsidP="00800E20">
      <w:pPr>
        <w:tabs>
          <w:tab w:val="left" w:pos="720"/>
          <w:tab w:val="center" w:pos="4320"/>
          <w:tab w:val="right" w:pos="8640"/>
        </w:tabs>
        <w:spacing w:after="0" w:line="240" w:lineRule="auto"/>
        <w:rPr>
          <w:rFonts w:ascii="Times New Roman" w:eastAsia="Times New Roman" w:hAnsi="Times New Roman" w:cs="Times New Roman"/>
          <w:sz w:val="24"/>
          <w:szCs w:val="24"/>
        </w:rPr>
      </w:pPr>
      <w:r w:rsidRPr="006C6AD7">
        <w:rPr>
          <w:rFonts w:ascii="Times New Roman" w:eastAsia="Times New Roman" w:hAnsi="Times New Roman" w:cs="Times New Roman"/>
          <w:sz w:val="24"/>
          <w:szCs w:val="24"/>
        </w:rPr>
        <w:tab/>
      </w:r>
      <w:r w:rsidR="00024843">
        <w:rPr>
          <w:rFonts w:ascii="Times New Roman" w:eastAsia="Times New Roman" w:hAnsi="Times New Roman" w:cs="Times New Roman"/>
          <w:sz w:val="24"/>
          <w:szCs w:val="24"/>
        </w:rPr>
        <w:t xml:space="preserve"> </w:t>
      </w:r>
      <w:r w:rsidRPr="006C6AD7">
        <w:rPr>
          <w:rFonts w:ascii="Times New Roman" w:eastAsia="Times New Roman" w:hAnsi="Times New Roman" w:cs="Times New Roman"/>
          <w:sz w:val="24"/>
          <w:szCs w:val="24"/>
        </w:rPr>
        <w:t>Avery Aisenstark</w:t>
      </w:r>
    </w:p>
    <w:p w:rsidR="00580565" w:rsidRPr="006C6AD7" w:rsidRDefault="00580565" w:rsidP="00580565">
      <w:pPr>
        <w:tabs>
          <w:tab w:val="left" w:pos="720"/>
          <w:tab w:val="center" w:pos="4320"/>
          <w:tab w:val="right" w:pos="8640"/>
        </w:tabs>
        <w:spacing w:after="0" w:line="240" w:lineRule="auto"/>
        <w:rPr>
          <w:rFonts w:ascii="Times New Roman" w:eastAsia="Times New Roman" w:hAnsi="Times New Roman" w:cs="Times New Roman"/>
          <w:sz w:val="24"/>
          <w:szCs w:val="24"/>
        </w:rPr>
      </w:pPr>
    </w:p>
    <w:p w:rsidR="00580565" w:rsidRDefault="00800E20" w:rsidP="00580565">
      <w:pPr>
        <w:tabs>
          <w:tab w:val="left" w:pos="720"/>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00E20" w:rsidRDefault="00800E20" w:rsidP="00580565">
      <w:pPr>
        <w:tabs>
          <w:tab w:val="left" w:pos="720"/>
          <w:tab w:val="center" w:pos="4320"/>
          <w:tab w:val="right" w:pos="8640"/>
        </w:tabs>
        <w:spacing w:after="0" w:line="240" w:lineRule="auto"/>
        <w:rPr>
          <w:rFonts w:ascii="Times New Roman" w:eastAsia="Times New Roman" w:hAnsi="Times New Roman" w:cs="Times New Roman"/>
          <w:sz w:val="24"/>
          <w:szCs w:val="24"/>
        </w:rPr>
        <w:sectPr w:rsidR="00800E20" w:rsidSect="00480931">
          <w:headerReference w:type="default" r:id="rId10"/>
          <w:pgSz w:w="12240" w:h="15840"/>
          <w:pgMar w:top="1440" w:right="990" w:bottom="1440" w:left="1440" w:header="720" w:footer="720" w:gutter="0"/>
          <w:cols w:space="720"/>
          <w:docGrid w:linePitch="360"/>
        </w:sectPr>
      </w:pPr>
      <w:r>
        <w:rPr>
          <w:rFonts w:ascii="Times New Roman" w:eastAsia="Times New Roman" w:hAnsi="Times New Roman" w:cs="Times New Roman"/>
          <w:sz w:val="24"/>
          <w:szCs w:val="24"/>
        </w:rPr>
        <w:t xml:space="preserve"> </w:t>
      </w:r>
    </w:p>
    <w:p w:rsidR="002576D4" w:rsidRDefault="002576D4" w:rsidP="00763838"/>
    <w:sectPr w:rsidR="002576D4" w:rsidSect="00580565">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02B" w:rsidRDefault="0032302B" w:rsidP="00480931">
      <w:pPr>
        <w:spacing w:after="0" w:line="240" w:lineRule="auto"/>
      </w:pPr>
      <w:r>
        <w:separator/>
      </w:r>
    </w:p>
  </w:endnote>
  <w:endnote w:type="continuationSeparator" w:id="0">
    <w:p w:rsidR="0032302B" w:rsidRDefault="0032302B" w:rsidP="00480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imes New Roman TUR">
    <w:altName w:val="Sylfaen"/>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02B" w:rsidRDefault="0032302B" w:rsidP="00480931">
      <w:pPr>
        <w:spacing w:after="0" w:line="240" w:lineRule="auto"/>
      </w:pPr>
      <w:r>
        <w:separator/>
      </w:r>
    </w:p>
  </w:footnote>
  <w:footnote w:type="continuationSeparator" w:id="0">
    <w:p w:rsidR="0032302B" w:rsidRDefault="0032302B" w:rsidP="00480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single" w:sz="8" w:space="0" w:color="FFB20F"/>
        <w:bottom w:val="single" w:sz="8" w:space="0" w:color="FFB20F"/>
      </w:tblBorders>
      <w:tblCellMar>
        <w:left w:w="0" w:type="dxa"/>
        <w:right w:w="0" w:type="dxa"/>
      </w:tblCellMar>
      <w:tblLook w:val="04A0" w:firstRow="1" w:lastRow="0" w:firstColumn="1" w:lastColumn="0" w:noHBand="0" w:noVBand="1"/>
    </w:tblPr>
    <w:tblGrid>
      <w:gridCol w:w="3150"/>
      <w:gridCol w:w="3150"/>
      <w:gridCol w:w="3780"/>
    </w:tblGrid>
    <w:tr w:rsidR="00480931" w:rsidRPr="00115739" w:rsidTr="00480931">
      <w:trPr>
        <w:trHeight w:val="1604"/>
        <w:jc w:val="center"/>
      </w:trPr>
      <w:tc>
        <w:tcPr>
          <w:tcW w:w="3150" w:type="dxa"/>
          <w:tcBorders>
            <w:bottom w:val="single" w:sz="4" w:space="0" w:color="FFC000"/>
          </w:tcBorders>
          <w:vAlign w:val="center"/>
        </w:tcPr>
        <w:p w:rsidR="001835A6" w:rsidRDefault="00480931" w:rsidP="001835A6">
          <w:pPr>
            <w:spacing w:after="0"/>
            <w:rPr>
              <w:rFonts w:ascii="Garamond" w:hAnsi="Garamond"/>
              <w:b/>
              <w:iCs/>
              <w:smallCaps/>
              <w:color w:val="404040" w:themeColor="text1" w:themeTint="BF"/>
              <w:sz w:val="24"/>
              <w:szCs w:val="24"/>
            </w:rPr>
          </w:pPr>
          <w:r>
            <w:rPr>
              <w:rFonts w:ascii="Garamond" w:hAnsi="Garamond"/>
              <w:b/>
              <w:iCs/>
              <w:smallCaps/>
              <w:color w:val="404040" w:themeColor="text1" w:themeTint="BF"/>
              <w:sz w:val="24"/>
              <w:szCs w:val="24"/>
            </w:rPr>
            <w:t xml:space="preserve">        </w:t>
          </w:r>
          <w:r w:rsidR="001835A6">
            <w:rPr>
              <w:rFonts w:ascii="Garamond" w:hAnsi="Garamond"/>
              <w:b/>
              <w:iCs/>
              <w:smallCaps/>
              <w:color w:val="404040" w:themeColor="text1" w:themeTint="BF"/>
              <w:sz w:val="24"/>
              <w:szCs w:val="24"/>
            </w:rPr>
            <w:t>CITY OF BALTIMORE</w:t>
          </w:r>
        </w:p>
        <w:p w:rsidR="001835A6" w:rsidRDefault="001835A6" w:rsidP="001835A6">
          <w:pPr>
            <w:spacing w:after="0"/>
            <w:jc w:val="center"/>
            <w:rPr>
              <w:rFonts w:ascii="Garamond" w:hAnsi="Garamond"/>
              <w:b/>
              <w:iCs/>
              <w:smallCaps/>
              <w:color w:val="404040" w:themeColor="text1" w:themeTint="BF"/>
              <w:sz w:val="24"/>
              <w:szCs w:val="24"/>
            </w:rPr>
          </w:pPr>
        </w:p>
        <w:p w:rsidR="001835A6" w:rsidRPr="005E0E1E" w:rsidRDefault="00AC68FE" w:rsidP="001835A6">
          <w:pPr>
            <w:spacing w:after="0"/>
            <w:jc w:val="center"/>
            <w:rPr>
              <w:rFonts w:ascii="Garamond" w:hAnsi="Garamond"/>
              <w:b/>
              <w:iCs/>
              <w:color w:val="404040" w:themeColor="text1" w:themeTint="BF"/>
              <w:sz w:val="24"/>
              <w:szCs w:val="24"/>
            </w:rPr>
          </w:pPr>
          <w:r>
            <w:rPr>
              <w:rFonts w:ascii="Garamond" w:hAnsi="Garamond"/>
              <w:b/>
              <w:iCs/>
              <w:color w:val="404040" w:themeColor="text1" w:themeTint="BF"/>
              <w:sz w:val="24"/>
              <w:szCs w:val="24"/>
            </w:rPr>
            <w:t>BRANDON M. SCOTT,</w:t>
          </w:r>
        </w:p>
        <w:p w:rsidR="00480931" w:rsidRPr="00115739" w:rsidRDefault="001835A6" w:rsidP="001835A6">
          <w:pPr>
            <w:spacing w:after="0"/>
            <w:jc w:val="center"/>
            <w:rPr>
              <w:rFonts w:ascii="Garamond" w:hAnsi="Garamond"/>
              <w:b/>
              <w:iCs/>
              <w:noProof/>
              <w:color w:val="404040" w:themeColor="text1" w:themeTint="BF"/>
              <w:szCs w:val="16"/>
            </w:rPr>
          </w:pPr>
          <w:r w:rsidRPr="005E0E1E">
            <w:rPr>
              <w:rFonts w:ascii="Garamond" w:hAnsi="Garamond"/>
              <w:b/>
              <w:iCs/>
              <w:color w:val="404040" w:themeColor="text1" w:themeTint="BF"/>
              <w:sz w:val="24"/>
              <w:szCs w:val="24"/>
            </w:rPr>
            <w:t>Mayor</w:t>
          </w:r>
        </w:p>
      </w:tc>
      <w:tc>
        <w:tcPr>
          <w:tcW w:w="3150" w:type="dxa"/>
          <w:tcBorders>
            <w:bottom w:val="single" w:sz="4" w:space="0" w:color="FFC000"/>
          </w:tcBorders>
          <w:vAlign w:val="center"/>
          <w:hideMark/>
        </w:tcPr>
        <w:p w:rsidR="00480931" w:rsidRPr="00EA17FA" w:rsidRDefault="00480931" w:rsidP="00480931">
          <w:pPr>
            <w:spacing w:before="100" w:beforeAutospacing="1" w:after="100" w:afterAutospacing="1" w:line="240" w:lineRule="auto"/>
            <w:contextualSpacing/>
            <w:jc w:val="center"/>
            <w:rPr>
              <w:rFonts w:ascii="Garamond" w:hAnsi="Garamond"/>
              <w:b/>
              <w:iCs/>
              <w:color w:val="404040" w:themeColor="text1" w:themeTint="BF"/>
              <w:sz w:val="12"/>
              <w:szCs w:val="16"/>
            </w:rPr>
          </w:pPr>
        </w:p>
        <w:p w:rsidR="00480931" w:rsidRPr="00EA17FA" w:rsidRDefault="00480931" w:rsidP="00480931">
          <w:pPr>
            <w:spacing w:before="100" w:beforeAutospacing="1" w:after="100" w:afterAutospacing="1" w:line="240" w:lineRule="auto"/>
            <w:contextualSpacing/>
            <w:jc w:val="center"/>
            <w:rPr>
              <w:rFonts w:ascii="Garamond" w:hAnsi="Garamond"/>
              <w:b/>
              <w:iCs/>
              <w:color w:val="404040" w:themeColor="text1" w:themeTint="BF"/>
              <w:szCs w:val="16"/>
            </w:rPr>
          </w:pPr>
          <w:r>
            <w:rPr>
              <w:rFonts w:ascii="Garamond" w:hAnsi="Garamond"/>
              <w:b/>
              <w:iCs/>
              <w:noProof/>
              <w:color w:val="404040" w:themeColor="text1" w:themeTint="BF"/>
              <w:szCs w:val="16"/>
            </w:rPr>
            <w:drawing>
              <wp:inline distT="0" distB="0" distL="0" distR="0" wp14:anchorId="0A180AA2" wp14:editId="575CA791">
                <wp:extent cx="825910" cy="9999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854027" cy="1034042"/>
                        </a:xfrm>
                        <a:prstGeom prst="rect">
                          <a:avLst/>
                        </a:prstGeom>
                      </pic:spPr>
                    </pic:pic>
                  </a:graphicData>
                </a:graphic>
              </wp:inline>
            </w:drawing>
          </w:r>
        </w:p>
      </w:tc>
      <w:tc>
        <w:tcPr>
          <w:tcW w:w="3780" w:type="dxa"/>
          <w:tcBorders>
            <w:bottom w:val="single" w:sz="4" w:space="0" w:color="FFC000"/>
          </w:tcBorders>
          <w:tcMar>
            <w:top w:w="0" w:type="dxa"/>
            <w:left w:w="0" w:type="dxa"/>
            <w:bottom w:w="120" w:type="dxa"/>
            <w:right w:w="0" w:type="dxa"/>
          </w:tcMar>
          <w:vAlign w:val="center"/>
          <w:hideMark/>
        </w:tcPr>
        <w:p w:rsidR="00480931" w:rsidRDefault="00480931" w:rsidP="00480931">
          <w:pPr>
            <w:spacing w:after="0"/>
            <w:jc w:val="center"/>
            <w:rPr>
              <w:rFonts w:ascii="Garamond" w:hAnsi="Garamond"/>
              <w:b/>
              <w:iCs/>
              <w:smallCaps/>
              <w:color w:val="404040" w:themeColor="text1" w:themeTint="BF"/>
              <w:szCs w:val="16"/>
            </w:rPr>
          </w:pPr>
        </w:p>
        <w:p w:rsidR="00480931" w:rsidRDefault="00480931" w:rsidP="00480931">
          <w:pPr>
            <w:spacing w:after="0"/>
            <w:rPr>
              <w:rFonts w:ascii="Garamond" w:hAnsi="Garamond"/>
              <w:b/>
              <w:iCs/>
              <w:smallCaps/>
              <w:color w:val="404040" w:themeColor="text1" w:themeTint="BF"/>
              <w:szCs w:val="16"/>
            </w:rPr>
          </w:pPr>
          <w:r>
            <w:rPr>
              <w:rFonts w:ascii="Garamond" w:hAnsi="Garamond"/>
              <w:b/>
              <w:iCs/>
              <w:smallCaps/>
              <w:color w:val="404040" w:themeColor="text1" w:themeTint="BF"/>
              <w:szCs w:val="16"/>
            </w:rPr>
            <w:t>DEPARTMENT OF LAW</w:t>
          </w:r>
        </w:p>
        <w:p w:rsidR="00480931" w:rsidRPr="005E0E1E" w:rsidRDefault="00480931" w:rsidP="00480931">
          <w:pPr>
            <w:spacing w:after="0"/>
            <w:rPr>
              <w:rFonts w:ascii="Garamond" w:hAnsi="Garamond"/>
              <w:b/>
              <w:iCs/>
              <w:smallCaps/>
              <w:color w:val="404040" w:themeColor="text1" w:themeTint="BF"/>
              <w:sz w:val="20"/>
              <w:szCs w:val="20"/>
            </w:rPr>
          </w:pPr>
          <w:r>
            <w:rPr>
              <w:rFonts w:ascii="Garamond" w:hAnsi="Garamond"/>
              <w:b/>
              <w:iCs/>
              <w:smallCaps/>
              <w:color w:val="404040" w:themeColor="text1" w:themeTint="BF"/>
              <w:sz w:val="20"/>
              <w:szCs w:val="20"/>
            </w:rPr>
            <w:t>Dana P. Moore</w:t>
          </w:r>
          <w:r w:rsidRPr="005E0E1E">
            <w:rPr>
              <w:rFonts w:ascii="Garamond" w:hAnsi="Garamond"/>
              <w:b/>
              <w:iCs/>
              <w:smallCaps/>
              <w:color w:val="404040" w:themeColor="text1" w:themeTint="BF"/>
              <w:sz w:val="20"/>
              <w:szCs w:val="20"/>
            </w:rPr>
            <w:t xml:space="preserve">, </w:t>
          </w:r>
          <w:r>
            <w:rPr>
              <w:rFonts w:ascii="Garamond" w:hAnsi="Garamond"/>
              <w:b/>
              <w:iCs/>
              <w:smallCaps/>
              <w:color w:val="404040" w:themeColor="text1" w:themeTint="BF"/>
              <w:sz w:val="20"/>
              <w:szCs w:val="20"/>
            </w:rPr>
            <w:t xml:space="preserve">Acting </w:t>
          </w:r>
          <w:r w:rsidRPr="005E0E1E">
            <w:rPr>
              <w:rFonts w:ascii="Garamond" w:hAnsi="Garamond"/>
              <w:b/>
              <w:iCs/>
              <w:smallCaps/>
              <w:color w:val="404040" w:themeColor="text1" w:themeTint="BF"/>
              <w:sz w:val="20"/>
              <w:szCs w:val="20"/>
            </w:rPr>
            <w:t>City Solicitor</w:t>
          </w:r>
          <w:r w:rsidRPr="005E0E1E">
            <w:rPr>
              <w:rFonts w:ascii="Garamond" w:hAnsi="Garamond"/>
              <w:b/>
              <w:iCs/>
              <w:smallCaps/>
              <w:color w:val="404040" w:themeColor="text1" w:themeTint="BF"/>
              <w:sz w:val="20"/>
              <w:szCs w:val="20"/>
            </w:rPr>
            <w:br/>
            <w:t xml:space="preserve">100 N. Holliday Street </w:t>
          </w:r>
        </w:p>
        <w:p w:rsidR="00480931" w:rsidRPr="00071D73" w:rsidRDefault="00480931" w:rsidP="00480931">
          <w:pPr>
            <w:spacing w:after="0"/>
            <w:rPr>
              <w:rFonts w:ascii="Garamond" w:hAnsi="Garamond"/>
              <w:b/>
              <w:iCs/>
              <w:smallCaps/>
              <w:color w:val="404040" w:themeColor="text1" w:themeTint="BF"/>
              <w:szCs w:val="16"/>
            </w:rPr>
          </w:pPr>
          <w:r w:rsidRPr="005E0E1E">
            <w:rPr>
              <w:rFonts w:ascii="Garamond" w:hAnsi="Garamond"/>
              <w:b/>
              <w:iCs/>
              <w:smallCaps/>
              <w:color w:val="404040" w:themeColor="text1" w:themeTint="BF"/>
              <w:sz w:val="20"/>
              <w:szCs w:val="20"/>
            </w:rPr>
            <w:t>Suite 101</w:t>
          </w:r>
          <w:r>
            <w:rPr>
              <w:rFonts w:ascii="Garamond" w:hAnsi="Garamond"/>
              <w:b/>
              <w:iCs/>
              <w:smallCaps/>
              <w:color w:val="404040" w:themeColor="text1" w:themeTint="BF"/>
              <w:sz w:val="20"/>
              <w:szCs w:val="20"/>
            </w:rPr>
            <w:t xml:space="preserve">, </w:t>
          </w:r>
          <w:r w:rsidRPr="005E0E1E">
            <w:rPr>
              <w:rFonts w:ascii="Garamond" w:hAnsi="Garamond"/>
              <w:b/>
              <w:iCs/>
              <w:smallCaps/>
              <w:color w:val="404040" w:themeColor="text1" w:themeTint="BF"/>
              <w:sz w:val="20"/>
              <w:szCs w:val="20"/>
            </w:rPr>
            <w:t>City Hall</w:t>
          </w:r>
          <w:r w:rsidRPr="005E0E1E">
            <w:rPr>
              <w:rFonts w:ascii="Garamond" w:hAnsi="Garamond"/>
              <w:b/>
              <w:iCs/>
              <w:smallCaps/>
              <w:color w:val="404040" w:themeColor="text1" w:themeTint="BF"/>
              <w:sz w:val="20"/>
              <w:szCs w:val="20"/>
            </w:rPr>
            <w:br/>
            <w:t>Baltimore, MD 21202</w:t>
          </w:r>
        </w:p>
      </w:tc>
    </w:tr>
  </w:tbl>
  <w:p w:rsidR="00480931" w:rsidRDefault="004809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NTE3N7A0MjY0sbRQ0lEKTi0uzszPAykwrAUAmffn3iwAAAA="/>
  </w:docVars>
  <w:rsids>
    <w:rsidRoot w:val="00480931"/>
    <w:rsid w:val="00024843"/>
    <w:rsid w:val="000415E6"/>
    <w:rsid w:val="000A487E"/>
    <w:rsid w:val="001835A6"/>
    <w:rsid w:val="001C5D53"/>
    <w:rsid w:val="001E4017"/>
    <w:rsid w:val="002576D4"/>
    <w:rsid w:val="0032302B"/>
    <w:rsid w:val="003A6104"/>
    <w:rsid w:val="00480931"/>
    <w:rsid w:val="004A21C1"/>
    <w:rsid w:val="004A6B97"/>
    <w:rsid w:val="004C4672"/>
    <w:rsid w:val="004F54BD"/>
    <w:rsid w:val="00575600"/>
    <w:rsid w:val="00580565"/>
    <w:rsid w:val="00596C9D"/>
    <w:rsid w:val="005C6A37"/>
    <w:rsid w:val="00611D37"/>
    <w:rsid w:val="00685EA9"/>
    <w:rsid w:val="006A3B75"/>
    <w:rsid w:val="006E15DB"/>
    <w:rsid w:val="00705211"/>
    <w:rsid w:val="00756703"/>
    <w:rsid w:val="00763838"/>
    <w:rsid w:val="00797777"/>
    <w:rsid w:val="00800E20"/>
    <w:rsid w:val="0087583C"/>
    <w:rsid w:val="008C4CFF"/>
    <w:rsid w:val="008F323B"/>
    <w:rsid w:val="00A36E05"/>
    <w:rsid w:val="00A74C17"/>
    <w:rsid w:val="00A908A3"/>
    <w:rsid w:val="00AC68FE"/>
    <w:rsid w:val="00B1191B"/>
    <w:rsid w:val="00B41044"/>
    <w:rsid w:val="00BB25F4"/>
    <w:rsid w:val="00BD14C2"/>
    <w:rsid w:val="00C5232A"/>
    <w:rsid w:val="00CD11F7"/>
    <w:rsid w:val="00D208BE"/>
    <w:rsid w:val="00D46AC1"/>
    <w:rsid w:val="00D86DC8"/>
    <w:rsid w:val="00DD161D"/>
    <w:rsid w:val="00E20788"/>
    <w:rsid w:val="00E268C7"/>
    <w:rsid w:val="00E401FB"/>
    <w:rsid w:val="00E429E4"/>
    <w:rsid w:val="00EA27AB"/>
    <w:rsid w:val="00EF07F6"/>
    <w:rsid w:val="00F95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0E35A6D"/>
  <w15:chartTrackingRefBased/>
  <w15:docId w15:val="{00D87459-BE95-4BEC-A245-5DCBA289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56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931"/>
  </w:style>
  <w:style w:type="paragraph" w:styleId="Footer">
    <w:name w:val="footer"/>
    <w:basedOn w:val="Normal"/>
    <w:link w:val="FooterChar"/>
    <w:uiPriority w:val="99"/>
    <w:unhideWhenUsed/>
    <w:rsid w:val="00480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D4CA478D48E34DAA1710FEEF8F7571" ma:contentTypeVersion="12" ma:contentTypeDescription="Create a new document." ma:contentTypeScope="" ma:versionID="cbed9c4cb78ed1ca51714a8a54c38546">
  <xsd:schema xmlns:xsd="http://www.w3.org/2001/XMLSchema" xmlns:xs="http://www.w3.org/2001/XMLSchema" xmlns:p="http://schemas.microsoft.com/office/2006/metadata/properties" xmlns:ns2="476b6b61-b543-4aed-9602-760ec8709fe3" xmlns:ns3="34315b68-95ac-4aa3-9704-0e45ef5fdb4e" targetNamespace="http://schemas.microsoft.com/office/2006/metadata/properties" ma:root="true" ma:fieldsID="19e2493ece5db4ce68e1f46b35863844" ns2:_="" ns3:_="">
    <xsd:import namespace="476b6b61-b543-4aed-9602-760ec8709fe3"/>
    <xsd:import namespace="34315b68-95ac-4aa3-9704-0e45ef5fdb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b6b61-b543-4aed-9602-760ec8709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15b68-95ac-4aa3-9704-0e45ef5fdb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5C2400-92DD-45FB-8E51-CE0A0DEBCE58}">
  <ds:schemaRefs>
    <ds:schemaRef ds:uri="http://schemas.microsoft.com/sharepoint/v3/contenttype/forms"/>
  </ds:schemaRefs>
</ds:datastoreItem>
</file>

<file path=customXml/itemProps2.xml><?xml version="1.0" encoding="utf-8"?>
<ds:datastoreItem xmlns:ds="http://schemas.openxmlformats.org/officeDocument/2006/customXml" ds:itemID="{B413A4F5-2965-4523-A3FF-9CC49C5A1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b6b61-b543-4aed-9602-760ec8709fe3"/>
    <ds:schemaRef ds:uri="34315b68-95ac-4aa3-9704-0e45ef5fd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A3961F-6948-4D23-8EB8-0BB9B80511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1321</TotalTime>
  <Pages>1</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Jade (LAW)</dc:creator>
  <cp:keywords/>
  <dc:description/>
  <cp:lastModifiedBy>DiPietro, Elena (Law Dept)</cp:lastModifiedBy>
  <cp:revision>6</cp:revision>
  <cp:lastPrinted>2020-03-02T20:11:00Z</cp:lastPrinted>
  <dcterms:created xsi:type="dcterms:W3CDTF">2021-12-14T21:29:00Z</dcterms:created>
  <dcterms:modified xsi:type="dcterms:W3CDTF">2021-12-15T19:46:00Z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0x010100FCD4CA478D48E34DAA1710FEEF8F7571</vt:lpwstr>
  </property>
</Properties>
</file>