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80" w:type="dxa"/>
        <w:tblBorders>
          <w:top w:val="single" w:sz="8" w:space="0" w:color="FFB20F"/>
          <w:bottom w:val="single" w:sz="8" w:space="0" w:color="FFB20F"/>
        </w:tblBorders>
        <w:tblCellMar>
          <w:left w:w="0" w:type="dxa"/>
          <w:right w:w="0" w:type="dxa"/>
        </w:tblCellMar>
        <w:tblLook w:val="04A0" w:firstRow="1" w:lastRow="0" w:firstColumn="1" w:lastColumn="0" w:noHBand="0" w:noVBand="1"/>
      </w:tblPr>
      <w:tblGrid>
        <w:gridCol w:w="3150"/>
        <w:gridCol w:w="3150"/>
        <w:gridCol w:w="3780"/>
      </w:tblGrid>
      <w:tr w:rsidR="00D06D63" w:rsidRPr="00D06D63" w:rsidTr="002C1F53">
        <w:trPr>
          <w:trHeight w:val="1604"/>
        </w:trPr>
        <w:tc>
          <w:tcPr>
            <w:tcW w:w="3150" w:type="dxa"/>
            <w:tcBorders>
              <w:bottom w:val="single" w:sz="4" w:space="0" w:color="FFC000"/>
            </w:tcBorders>
            <w:vAlign w:val="center"/>
          </w:tcPr>
          <w:p w:rsidR="00D06D63" w:rsidRPr="00D06D63" w:rsidRDefault="00D06D63" w:rsidP="00D06D63">
            <w:pPr>
              <w:spacing w:line="259" w:lineRule="auto"/>
              <w:rPr>
                <w:rFonts w:ascii="Garamond" w:eastAsia="Calibri" w:hAnsi="Garamond" w:cs="Times New Roman"/>
                <w:b/>
                <w:iCs/>
                <w:smallCaps/>
                <w:color w:val="404040"/>
                <w:sz w:val="24"/>
                <w:szCs w:val="24"/>
              </w:rPr>
            </w:pPr>
            <w:bookmarkStart w:id="0" w:name="_Hlk125363071"/>
            <w:r w:rsidRPr="00D06D63">
              <w:rPr>
                <w:rFonts w:ascii="Garamond" w:eastAsia="Calibri" w:hAnsi="Garamond" w:cs="Times New Roman"/>
                <w:b/>
                <w:iCs/>
                <w:smallCaps/>
                <w:color w:val="404040"/>
                <w:sz w:val="24"/>
                <w:szCs w:val="24"/>
              </w:rPr>
              <w:t>CITY OF BALTIMORE</w:t>
            </w:r>
          </w:p>
          <w:p w:rsidR="00D06D63" w:rsidRPr="00D06D63" w:rsidRDefault="00D06D63" w:rsidP="00D06D63">
            <w:pPr>
              <w:spacing w:line="259" w:lineRule="auto"/>
              <w:rPr>
                <w:rFonts w:ascii="Garamond" w:eastAsia="Calibri" w:hAnsi="Garamond" w:cs="Times New Roman"/>
                <w:b/>
                <w:iCs/>
                <w:smallCaps/>
                <w:color w:val="404040"/>
                <w:sz w:val="24"/>
                <w:szCs w:val="24"/>
              </w:rPr>
            </w:pPr>
          </w:p>
          <w:p w:rsidR="00D06D63" w:rsidRPr="00D06D63" w:rsidRDefault="00D06D63" w:rsidP="00D06D63">
            <w:pPr>
              <w:spacing w:line="259" w:lineRule="auto"/>
              <w:rPr>
                <w:rFonts w:ascii="Garamond" w:eastAsia="Calibri" w:hAnsi="Garamond" w:cs="Times New Roman"/>
                <w:b/>
                <w:iCs/>
                <w:color w:val="404040"/>
                <w:sz w:val="24"/>
                <w:szCs w:val="24"/>
              </w:rPr>
            </w:pPr>
            <w:r w:rsidRPr="00D06D63">
              <w:rPr>
                <w:rFonts w:ascii="Garamond" w:eastAsia="Calibri" w:hAnsi="Garamond" w:cs="Times New Roman"/>
                <w:b/>
                <w:iCs/>
                <w:color w:val="404040"/>
                <w:sz w:val="24"/>
                <w:szCs w:val="24"/>
              </w:rPr>
              <w:t>BRANDON M. SCOTT,</w:t>
            </w:r>
          </w:p>
          <w:p w:rsidR="00D06D63" w:rsidRPr="00D06D63" w:rsidRDefault="00D06D63" w:rsidP="00D06D63">
            <w:pPr>
              <w:spacing w:line="259" w:lineRule="auto"/>
              <w:rPr>
                <w:rFonts w:ascii="Garamond" w:eastAsia="Calibri" w:hAnsi="Garamond" w:cs="Times New Roman"/>
                <w:b/>
                <w:iCs/>
                <w:noProof/>
                <w:color w:val="404040"/>
                <w:szCs w:val="16"/>
              </w:rPr>
            </w:pPr>
            <w:r w:rsidRPr="00D06D63">
              <w:rPr>
                <w:rFonts w:ascii="Garamond" w:eastAsia="Calibri" w:hAnsi="Garamond" w:cs="Times New Roman"/>
                <w:b/>
                <w:iCs/>
                <w:color w:val="404040"/>
                <w:sz w:val="24"/>
                <w:szCs w:val="24"/>
              </w:rPr>
              <w:t>Mayor</w:t>
            </w:r>
          </w:p>
        </w:tc>
        <w:tc>
          <w:tcPr>
            <w:tcW w:w="3150" w:type="dxa"/>
            <w:tcBorders>
              <w:bottom w:val="single" w:sz="4" w:space="0" w:color="FFC000"/>
            </w:tcBorders>
            <w:vAlign w:val="center"/>
            <w:hideMark/>
          </w:tcPr>
          <w:p w:rsidR="00D06D63" w:rsidRPr="00D06D63" w:rsidRDefault="00D06D63" w:rsidP="00D06D63">
            <w:pPr>
              <w:spacing w:before="100" w:beforeAutospacing="1" w:after="100" w:afterAutospacing="1"/>
              <w:contextualSpacing/>
              <w:jc w:val="center"/>
              <w:rPr>
                <w:rFonts w:ascii="Garamond" w:eastAsia="Calibri" w:hAnsi="Garamond" w:cs="Times New Roman"/>
                <w:b/>
                <w:iCs/>
                <w:color w:val="404040"/>
                <w:sz w:val="12"/>
                <w:szCs w:val="16"/>
              </w:rPr>
            </w:pPr>
          </w:p>
          <w:p w:rsidR="00D06D63" w:rsidRPr="00D06D63" w:rsidRDefault="00D06D63" w:rsidP="00D06D63">
            <w:pPr>
              <w:spacing w:before="100" w:beforeAutospacing="1" w:after="100" w:afterAutospacing="1"/>
              <w:contextualSpacing/>
              <w:jc w:val="center"/>
              <w:rPr>
                <w:rFonts w:ascii="Garamond" w:eastAsia="Calibri" w:hAnsi="Garamond" w:cs="Times New Roman"/>
                <w:b/>
                <w:iCs/>
                <w:color w:val="404040"/>
                <w:szCs w:val="16"/>
              </w:rPr>
            </w:pPr>
            <w:r w:rsidRPr="00D06D63">
              <w:rPr>
                <w:rFonts w:ascii="Garamond" w:eastAsia="Calibri" w:hAnsi="Garamond" w:cs="Times New Roman"/>
                <w:b/>
                <w:iCs/>
                <w:noProof/>
                <w:color w:val="404040"/>
                <w:szCs w:val="16"/>
              </w:rPr>
              <w:drawing>
                <wp:inline distT="0" distB="0" distL="0" distR="0" wp14:anchorId="22631998" wp14:editId="4ED9A87F">
                  <wp:extent cx="825910" cy="99999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ng"/>
                          <pic:cNvPicPr/>
                        </pic:nvPicPr>
                        <pic:blipFill>
                          <a:blip r:embed="rId8">
                            <a:extLst>
                              <a:ext uri="{28A0092B-C50C-407E-A947-70E740481C1C}">
                                <a14:useLocalDpi xmlns:a14="http://schemas.microsoft.com/office/drawing/2010/main" val="0"/>
                              </a:ext>
                            </a:extLst>
                          </a:blip>
                          <a:stretch>
                            <a:fillRect/>
                          </a:stretch>
                        </pic:blipFill>
                        <pic:spPr>
                          <a:xfrm>
                            <a:off x="0" y="0"/>
                            <a:ext cx="854027" cy="1034042"/>
                          </a:xfrm>
                          <a:prstGeom prst="rect">
                            <a:avLst/>
                          </a:prstGeom>
                        </pic:spPr>
                      </pic:pic>
                    </a:graphicData>
                  </a:graphic>
                </wp:inline>
              </w:drawing>
            </w:r>
          </w:p>
        </w:tc>
        <w:tc>
          <w:tcPr>
            <w:tcW w:w="3780" w:type="dxa"/>
            <w:tcBorders>
              <w:bottom w:val="single" w:sz="4" w:space="0" w:color="FFC000"/>
            </w:tcBorders>
            <w:tcMar>
              <w:top w:w="0" w:type="dxa"/>
              <w:left w:w="0" w:type="dxa"/>
              <w:bottom w:w="120" w:type="dxa"/>
              <w:right w:w="0" w:type="dxa"/>
            </w:tcMar>
            <w:vAlign w:val="center"/>
            <w:hideMark/>
          </w:tcPr>
          <w:p w:rsidR="00D06D63" w:rsidRPr="00D06D63" w:rsidRDefault="00D06D63" w:rsidP="00D06D63">
            <w:pPr>
              <w:spacing w:line="259" w:lineRule="auto"/>
              <w:jc w:val="center"/>
              <w:rPr>
                <w:rFonts w:ascii="Garamond" w:eastAsia="Calibri" w:hAnsi="Garamond" w:cs="Times New Roman"/>
                <w:b/>
                <w:iCs/>
                <w:smallCaps/>
                <w:color w:val="404040"/>
                <w:sz w:val="24"/>
                <w:szCs w:val="24"/>
              </w:rPr>
            </w:pPr>
          </w:p>
          <w:p w:rsidR="00D06D63" w:rsidRPr="00D06D63" w:rsidRDefault="00D06D63" w:rsidP="00D06D63">
            <w:pPr>
              <w:spacing w:line="259" w:lineRule="auto"/>
              <w:rPr>
                <w:rFonts w:ascii="Garamond" w:eastAsia="Calibri" w:hAnsi="Garamond" w:cs="Times New Roman"/>
                <w:b/>
                <w:iCs/>
                <w:smallCaps/>
                <w:color w:val="404040"/>
                <w:sz w:val="24"/>
                <w:szCs w:val="24"/>
              </w:rPr>
            </w:pPr>
            <w:r w:rsidRPr="00D06D63">
              <w:rPr>
                <w:rFonts w:ascii="Garamond" w:eastAsia="Calibri" w:hAnsi="Garamond" w:cs="Times New Roman"/>
                <w:b/>
                <w:iCs/>
                <w:smallCaps/>
                <w:color w:val="404040"/>
                <w:sz w:val="24"/>
                <w:szCs w:val="24"/>
              </w:rPr>
              <w:t>DEPARTMENT OF LAW</w:t>
            </w:r>
          </w:p>
          <w:p w:rsidR="00D06D63" w:rsidRPr="00D06D63" w:rsidRDefault="00D06D63" w:rsidP="00D06D63">
            <w:pPr>
              <w:spacing w:line="259" w:lineRule="auto"/>
              <w:rPr>
                <w:rFonts w:ascii="Garamond" w:eastAsia="Calibri" w:hAnsi="Garamond" w:cs="Times New Roman"/>
                <w:b/>
                <w:iCs/>
                <w:smallCaps/>
                <w:color w:val="404040"/>
                <w:sz w:val="24"/>
                <w:szCs w:val="24"/>
              </w:rPr>
            </w:pPr>
            <w:r w:rsidRPr="00D06D63">
              <w:rPr>
                <w:rFonts w:ascii="Garamond" w:eastAsia="Calibri" w:hAnsi="Garamond" w:cs="Times New Roman"/>
                <w:b/>
                <w:iCs/>
                <w:smallCaps/>
                <w:color w:val="404040"/>
                <w:sz w:val="24"/>
                <w:szCs w:val="24"/>
              </w:rPr>
              <w:t xml:space="preserve">Ebony M. Thompson, </w:t>
            </w:r>
          </w:p>
          <w:p w:rsidR="00D06D63" w:rsidRPr="00D06D63" w:rsidRDefault="00D06D63" w:rsidP="00D06D63">
            <w:pPr>
              <w:spacing w:line="259" w:lineRule="auto"/>
              <w:rPr>
                <w:rFonts w:ascii="Garamond" w:eastAsia="Calibri" w:hAnsi="Garamond" w:cs="Times New Roman"/>
                <w:b/>
                <w:iCs/>
                <w:smallCaps/>
                <w:color w:val="404040"/>
                <w:sz w:val="24"/>
                <w:szCs w:val="24"/>
              </w:rPr>
            </w:pPr>
            <w:r w:rsidRPr="00D06D63">
              <w:rPr>
                <w:rFonts w:ascii="Garamond" w:eastAsia="Calibri" w:hAnsi="Garamond" w:cs="Times New Roman"/>
                <w:b/>
                <w:iCs/>
                <w:smallCaps/>
                <w:color w:val="404040"/>
                <w:sz w:val="24"/>
                <w:szCs w:val="24"/>
              </w:rPr>
              <w:t>Acting City Solicitor</w:t>
            </w:r>
            <w:r w:rsidRPr="00D06D63">
              <w:rPr>
                <w:rFonts w:ascii="Garamond" w:eastAsia="Calibri" w:hAnsi="Garamond" w:cs="Times New Roman"/>
                <w:b/>
                <w:iCs/>
                <w:smallCaps/>
                <w:color w:val="404040"/>
                <w:sz w:val="24"/>
                <w:szCs w:val="24"/>
              </w:rPr>
              <w:br/>
              <w:t xml:space="preserve">100 N. Holliday Street </w:t>
            </w:r>
          </w:p>
          <w:p w:rsidR="00D06D63" w:rsidRPr="00D06D63" w:rsidRDefault="00D06D63" w:rsidP="00D06D63">
            <w:pPr>
              <w:spacing w:line="259" w:lineRule="auto"/>
              <w:rPr>
                <w:rFonts w:ascii="Garamond" w:eastAsia="Calibri" w:hAnsi="Garamond" w:cs="Times New Roman"/>
                <w:b/>
                <w:iCs/>
                <w:smallCaps/>
                <w:color w:val="404040"/>
                <w:sz w:val="24"/>
                <w:szCs w:val="24"/>
              </w:rPr>
            </w:pPr>
            <w:r w:rsidRPr="00D06D63">
              <w:rPr>
                <w:rFonts w:ascii="Garamond" w:eastAsia="Calibri" w:hAnsi="Garamond" w:cs="Times New Roman"/>
                <w:b/>
                <w:iCs/>
                <w:smallCaps/>
                <w:color w:val="404040"/>
                <w:sz w:val="24"/>
                <w:szCs w:val="24"/>
              </w:rPr>
              <w:t>Suite 101, City Hall</w:t>
            </w:r>
            <w:r w:rsidRPr="00D06D63">
              <w:rPr>
                <w:rFonts w:ascii="Garamond" w:eastAsia="Calibri" w:hAnsi="Garamond" w:cs="Times New Roman"/>
                <w:b/>
                <w:iCs/>
                <w:smallCaps/>
                <w:color w:val="404040"/>
                <w:sz w:val="24"/>
                <w:szCs w:val="24"/>
              </w:rPr>
              <w:br/>
              <w:t>Baltimore, MD 21202</w:t>
            </w:r>
          </w:p>
        </w:tc>
      </w:tr>
      <w:bookmarkEnd w:id="0"/>
    </w:tbl>
    <w:p w:rsidR="00A9204E" w:rsidRDefault="00A9204E"/>
    <w:p w:rsidR="00D06D63" w:rsidRDefault="00D06D63" w:rsidP="00D06D63">
      <w:pPr>
        <w:jc w:val="both"/>
      </w:pPr>
    </w:p>
    <w:p w:rsidR="00D06D63" w:rsidRPr="00D06D63" w:rsidRDefault="00D06D63" w:rsidP="00D06D63">
      <w:pPr>
        <w:keepNext/>
        <w:widowControl w:val="0"/>
        <w:tabs>
          <w:tab w:val="center" w:pos="4680"/>
        </w:tabs>
        <w:autoSpaceDE w:val="0"/>
        <w:autoSpaceDN w:val="0"/>
        <w:adjustRightInd w:val="0"/>
        <w:jc w:val="center"/>
        <w:outlineLvl w:val="0"/>
        <w:rPr>
          <w:rFonts w:ascii="Times New Roman TUR" w:eastAsia="Times New Roman" w:hAnsi="Times New Roman TUR" w:cs="Times New Roman TUR"/>
          <w:sz w:val="24"/>
          <w:szCs w:val="24"/>
        </w:rPr>
      </w:pPr>
      <w:r w:rsidRPr="00D06D63">
        <w:rPr>
          <w:rFonts w:ascii="Times New Roman TUR" w:eastAsia="Times New Roman" w:hAnsi="Times New Roman TUR" w:cs="Times New Roman TUR"/>
          <w:sz w:val="24"/>
          <w:szCs w:val="24"/>
        </w:rPr>
        <w:t>January 2</w:t>
      </w:r>
      <w:r w:rsidR="0064191B">
        <w:rPr>
          <w:rFonts w:ascii="Times New Roman TUR" w:eastAsia="Times New Roman" w:hAnsi="Times New Roman TUR" w:cs="Times New Roman TUR"/>
          <w:sz w:val="24"/>
          <w:szCs w:val="24"/>
        </w:rPr>
        <w:t>3</w:t>
      </w:r>
      <w:r w:rsidRPr="00D06D63">
        <w:rPr>
          <w:rFonts w:ascii="Times New Roman TUR" w:eastAsia="Times New Roman" w:hAnsi="Times New Roman TUR" w:cs="Times New Roman TUR"/>
          <w:sz w:val="24"/>
          <w:szCs w:val="24"/>
        </w:rPr>
        <w:t>, 2023</w:t>
      </w:r>
    </w:p>
    <w:p w:rsidR="00D06D63" w:rsidRPr="00D06D63" w:rsidRDefault="00D06D63" w:rsidP="00D06D63">
      <w:pPr>
        <w:keepNext/>
        <w:widowControl w:val="0"/>
        <w:tabs>
          <w:tab w:val="center" w:pos="4680"/>
        </w:tabs>
        <w:autoSpaceDE w:val="0"/>
        <w:autoSpaceDN w:val="0"/>
        <w:adjustRightInd w:val="0"/>
        <w:jc w:val="center"/>
        <w:outlineLvl w:val="0"/>
        <w:rPr>
          <w:rFonts w:ascii="Times New Roman" w:eastAsia="Times New Roman" w:hAnsi="Times New Roman" w:cs="Times New Roman"/>
          <w:i/>
          <w:sz w:val="24"/>
          <w:szCs w:val="24"/>
        </w:rPr>
      </w:pPr>
    </w:p>
    <w:p w:rsidR="00D06D63" w:rsidRDefault="00D06D63" w:rsidP="00D06D63">
      <w:pPr>
        <w:keepNext/>
        <w:widowControl w:val="0"/>
        <w:tabs>
          <w:tab w:val="center" w:pos="4680"/>
        </w:tabs>
        <w:autoSpaceDE w:val="0"/>
        <w:autoSpaceDN w:val="0"/>
        <w:adjustRightInd w:val="0"/>
        <w:jc w:val="center"/>
        <w:outlineLvl w:val="0"/>
        <w:rPr>
          <w:rFonts w:ascii="Times New Roman" w:eastAsia="Times New Roman" w:hAnsi="Times New Roman" w:cs="Times New Roman"/>
          <w:sz w:val="24"/>
          <w:szCs w:val="24"/>
        </w:rPr>
      </w:pPr>
    </w:p>
    <w:p w:rsidR="00D06D63" w:rsidRDefault="00D06D63" w:rsidP="00D06D63">
      <w:pPr>
        <w:keepNext/>
        <w:widowControl w:val="0"/>
        <w:tabs>
          <w:tab w:val="center" w:pos="4680"/>
        </w:tabs>
        <w:autoSpaceDE w:val="0"/>
        <w:autoSpaceDN w:val="0"/>
        <w:adjustRightInd w:val="0"/>
        <w:outlineLvl w:val="0"/>
        <w:rPr>
          <w:rFonts w:ascii="Times New Roman" w:eastAsia="Times New Roman" w:hAnsi="Times New Roman" w:cs="Times New Roman"/>
          <w:sz w:val="24"/>
          <w:szCs w:val="24"/>
        </w:rPr>
      </w:pPr>
    </w:p>
    <w:p w:rsidR="00D06D63" w:rsidRPr="00D06D63" w:rsidRDefault="00D06D63" w:rsidP="00D06D63">
      <w:pPr>
        <w:keepNext/>
        <w:widowControl w:val="0"/>
        <w:tabs>
          <w:tab w:val="center" w:pos="4680"/>
        </w:tabs>
        <w:autoSpaceDE w:val="0"/>
        <w:autoSpaceDN w:val="0"/>
        <w:adjustRightInd w:val="0"/>
        <w:outlineLvl w:val="0"/>
        <w:rPr>
          <w:rFonts w:ascii="Times New Roman TUR" w:eastAsia="Times New Roman" w:hAnsi="Times New Roman TUR" w:cs="Times New Roman TUR"/>
          <w:sz w:val="24"/>
          <w:szCs w:val="24"/>
        </w:rPr>
      </w:pPr>
      <w:r>
        <w:rPr>
          <w:rFonts w:ascii="Times New Roman" w:eastAsia="Times New Roman" w:hAnsi="Times New Roman" w:cs="Times New Roman"/>
          <w:sz w:val="24"/>
          <w:szCs w:val="24"/>
        </w:rPr>
        <w:t>H</w:t>
      </w:r>
      <w:r w:rsidRPr="00D06D63">
        <w:rPr>
          <w:rFonts w:ascii="Times New Roman" w:eastAsia="Times New Roman" w:hAnsi="Times New Roman" w:cs="Times New Roman"/>
          <w:sz w:val="24"/>
          <w:szCs w:val="24"/>
        </w:rPr>
        <w:t xml:space="preserve">onorable President </w:t>
      </w:r>
    </w:p>
    <w:p w:rsidR="00D06D63" w:rsidRPr="00D06D63" w:rsidRDefault="00D06D63" w:rsidP="00D06D63">
      <w:pPr>
        <w:widowControl w:val="0"/>
        <w:autoSpaceDE w:val="0"/>
        <w:autoSpaceDN w:val="0"/>
        <w:adjustRightInd w:val="0"/>
        <w:rPr>
          <w:rFonts w:ascii="Times New Roman" w:eastAsia="Times New Roman" w:hAnsi="Times New Roman" w:cs="Times New Roman"/>
          <w:sz w:val="24"/>
          <w:szCs w:val="24"/>
        </w:rPr>
      </w:pPr>
      <w:r w:rsidRPr="00D06D63">
        <w:rPr>
          <w:rFonts w:ascii="Times New Roman" w:eastAsia="Times New Roman" w:hAnsi="Times New Roman" w:cs="Times New Roman"/>
          <w:sz w:val="24"/>
          <w:szCs w:val="24"/>
        </w:rPr>
        <w:t>Members of the City Council</w:t>
      </w:r>
    </w:p>
    <w:p w:rsidR="00D06D63" w:rsidRPr="00D06D63" w:rsidRDefault="00D06D63" w:rsidP="00D06D63">
      <w:pPr>
        <w:widowControl w:val="0"/>
        <w:autoSpaceDE w:val="0"/>
        <w:autoSpaceDN w:val="0"/>
        <w:adjustRightInd w:val="0"/>
        <w:rPr>
          <w:rFonts w:ascii="Times New Roman" w:eastAsia="Times New Roman" w:hAnsi="Times New Roman" w:cs="Times New Roman"/>
          <w:sz w:val="24"/>
          <w:szCs w:val="24"/>
        </w:rPr>
      </w:pPr>
      <w:r w:rsidRPr="00D06D63">
        <w:rPr>
          <w:rFonts w:ascii="Times New Roman" w:eastAsia="Times New Roman" w:hAnsi="Times New Roman" w:cs="Times New Roman"/>
          <w:sz w:val="24"/>
          <w:szCs w:val="24"/>
        </w:rPr>
        <w:t>c/o Natawna Austin, Executive Secretary</w:t>
      </w:r>
    </w:p>
    <w:p w:rsidR="00D06D63" w:rsidRPr="00D06D63" w:rsidRDefault="00D06D63" w:rsidP="00D06D63">
      <w:pPr>
        <w:widowControl w:val="0"/>
        <w:autoSpaceDE w:val="0"/>
        <w:autoSpaceDN w:val="0"/>
        <w:adjustRightInd w:val="0"/>
        <w:rPr>
          <w:rFonts w:ascii="Times New Roman" w:eastAsia="Times New Roman" w:hAnsi="Times New Roman" w:cs="Times New Roman"/>
          <w:sz w:val="24"/>
          <w:szCs w:val="24"/>
        </w:rPr>
      </w:pPr>
      <w:r w:rsidRPr="00D06D63">
        <w:rPr>
          <w:rFonts w:ascii="Times New Roman" w:eastAsia="Times New Roman" w:hAnsi="Times New Roman" w:cs="Times New Roman"/>
          <w:sz w:val="24"/>
          <w:szCs w:val="24"/>
        </w:rPr>
        <w:t>409 City Hall</w:t>
      </w:r>
    </w:p>
    <w:p w:rsidR="00D06D63" w:rsidRPr="00D06D63" w:rsidRDefault="00D06D63" w:rsidP="00D06D63">
      <w:pPr>
        <w:widowControl w:val="0"/>
        <w:autoSpaceDE w:val="0"/>
        <w:autoSpaceDN w:val="0"/>
        <w:adjustRightInd w:val="0"/>
        <w:rPr>
          <w:rFonts w:ascii="Times New Roman" w:eastAsia="Times New Roman" w:hAnsi="Times New Roman" w:cs="Times New Roman"/>
          <w:sz w:val="24"/>
          <w:szCs w:val="24"/>
        </w:rPr>
      </w:pPr>
      <w:smartTag w:uri="urn:schemas-microsoft-com:office:smarttags" w:element="place">
        <w:smartTag w:uri="urn:schemas-microsoft-com:office:smarttags" w:element="City">
          <w:r w:rsidRPr="00D06D63">
            <w:rPr>
              <w:rFonts w:ascii="Times New Roman" w:eastAsia="Times New Roman" w:hAnsi="Times New Roman" w:cs="Times New Roman"/>
              <w:sz w:val="24"/>
              <w:szCs w:val="24"/>
            </w:rPr>
            <w:t>Baltimore</w:t>
          </w:r>
        </w:smartTag>
        <w:r w:rsidRPr="00D06D63">
          <w:rPr>
            <w:rFonts w:ascii="Times New Roman" w:eastAsia="Times New Roman" w:hAnsi="Times New Roman" w:cs="Times New Roman"/>
            <w:sz w:val="24"/>
            <w:szCs w:val="24"/>
          </w:rPr>
          <w:t xml:space="preserve">, </w:t>
        </w:r>
        <w:smartTag w:uri="urn:schemas-microsoft-com:office:smarttags" w:element="State">
          <w:r w:rsidRPr="00D06D63">
            <w:rPr>
              <w:rFonts w:ascii="Times New Roman" w:eastAsia="Times New Roman" w:hAnsi="Times New Roman" w:cs="Times New Roman"/>
              <w:sz w:val="24"/>
              <w:szCs w:val="24"/>
            </w:rPr>
            <w:t>MD</w:t>
          </w:r>
        </w:smartTag>
        <w:r w:rsidRPr="00D06D63">
          <w:rPr>
            <w:rFonts w:ascii="Times New Roman" w:eastAsia="Times New Roman" w:hAnsi="Times New Roman" w:cs="Times New Roman"/>
            <w:sz w:val="24"/>
            <w:szCs w:val="24"/>
          </w:rPr>
          <w:t xml:space="preserve"> </w:t>
        </w:r>
        <w:smartTag w:uri="urn:schemas-microsoft-com:office:smarttags" w:element="PostalCode">
          <w:r w:rsidRPr="00D06D63">
            <w:rPr>
              <w:rFonts w:ascii="Times New Roman" w:eastAsia="Times New Roman" w:hAnsi="Times New Roman" w:cs="Times New Roman"/>
              <w:sz w:val="24"/>
              <w:szCs w:val="24"/>
            </w:rPr>
            <w:t>21202</w:t>
          </w:r>
        </w:smartTag>
      </w:smartTag>
    </w:p>
    <w:p w:rsidR="00D06D63" w:rsidRPr="00D06D63" w:rsidRDefault="00D06D63" w:rsidP="00D06D63">
      <w:pPr>
        <w:widowControl w:val="0"/>
        <w:autoSpaceDE w:val="0"/>
        <w:autoSpaceDN w:val="0"/>
        <w:adjustRightInd w:val="0"/>
        <w:jc w:val="both"/>
        <w:rPr>
          <w:rFonts w:ascii="Times New Roman" w:eastAsia="Times New Roman" w:hAnsi="Times New Roman" w:cs="Times New Roman"/>
          <w:b/>
          <w:bCs/>
          <w:sz w:val="24"/>
          <w:szCs w:val="24"/>
        </w:rPr>
      </w:pPr>
    </w:p>
    <w:p w:rsidR="00D06D63" w:rsidRPr="00D06D63" w:rsidRDefault="00D06D63" w:rsidP="00D06D63">
      <w:pPr>
        <w:widowControl w:val="0"/>
        <w:autoSpaceDE w:val="0"/>
        <w:autoSpaceDN w:val="0"/>
        <w:adjustRightInd w:val="0"/>
        <w:jc w:val="both"/>
        <w:rPr>
          <w:rFonts w:ascii="Times New Roman" w:eastAsia="Times New Roman" w:hAnsi="Times New Roman" w:cs="Times New Roman"/>
          <w:sz w:val="24"/>
          <w:szCs w:val="24"/>
        </w:rPr>
      </w:pPr>
    </w:p>
    <w:p w:rsidR="00D06D63" w:rsidRDefault="00D06D63" w:rsidP="00D06D63">
      <w:pPr>
        <w:widowControl w:val="0"/>
        <w:autoSpaceDE w:val="0"/>
        <w:autoSpaceDN w:val="0"/>
        <w:adjustRightInd w:val="0"/>
        <w:ind w:left="1440"/>
        <w:jc w:val="both"/>
        <w:rPr>
          <w:rFonts w:ascii="Times New Roman" w:eastAsia="Times New Roman" w:hAnsi="Times New Roman" w:cs="Times New Roman"/>
          <w:sz w:val="24"/>
          <w:szCs w:val="24"/>
        </w:rPr>
      </w:pPr>
      <w:r w:rsidRPr="00D06D63">
        <w:rPr>
          <w:rFonts w:ascii="Times New Roman" w:eastAsia="Times New Roman" w:hAnsi="Times New Roman" w:cs="Times New Roman"/>
          <w:sz w:val="24"/>
          <w:szCs w:val="24"/>
        </w:rPr>
        <w:t>RE: City Council Bill 2</w:t>
      </w:r>
      <w:r>
        <w:rPr>
          <w:rFonts w:ascii="Times New Roman" w:eastAsia="Times New Roman" w:hAnsi="Times New Roman" w:cs="Times New Roman"/>
          <w:sz w:val="24"/>
          <w:szCs w:val="24"/>
        </w:rPr>
        <w:t xml:space="preserve">2-0254 - </w:t>
      </w:r>
      <w:r w:rsidRPr="00D06D63">
        <w:rPr>
          <w:rFonts w:ascii="Times New Roman" w:eastAsia="Times New Roman" w:hAnsi="Times New Roman" w:cs="Times New Roman"/>
          <w:sz w:val="24"/>
          <w:szCs w:val="24"/>
        </w:rPr>
        <w:t xml:space="preserve">Office </w:t>
      </w:r>
      <w:r>
        <w:rPr>
          <w:rFonts w:ascii="Times New Roman" w:eastAsia="Times New Roman" w:hAnsi="Times New Roman" w:cs="Times New Roman"/>
          <w:sz w:val="24"/>
          <w:szCs w:val="24"/>
        </w:rPr>
        <w:t>of Aging - Independent Agency</w:t>
      </w:r>
    </w:p>
    <w:p w:rsidR="00162A2E" w:rsidRDefault="00162A2E" w:rsidP="00D06D63">
      <w:pPr>
        <w:widowControl w:val="0"/>
        <w:autoSpaceDE w:val="0"/>
        <w:autoSpaceDN w:val="0"/>
        <w:adjustRightInd w:val="0"/>
        <w:ind w:left="1440"/>
        <w:jc w:val="both"/>
        <w:rPr>
          <w:rFonts w:ascii="Times New Roman" w:eastAsia="Times New Roman" w:hAnsi="Times New Roman" w:cs="Times New Roman"/>
          <w:sz w:val="24"/>
          <w:szCs w:val="24"/>
        </w:rPr>
      </w:pPr>
    </w:p>
    <w:p w:rsidR="00162A2E" w:rsidRPr="00D06D63" w:rsidRDefault="00162A2E" w:rsidP="00D06D63">
      <w:pPr>
        <w:widowControl w:val="0"/>
        <w:autoSpaceDE w:val="0"/>
        <w:autoSpaceDN w:val="0"/>
        <w:adjustRightInd w:val="0"/>
        <w:ind w:left="1440"/>
        <w:jc w:val="both"/>
        <w:rPr>
          <w:rFonts w:ascii="Times New Roman" w:eastAsia="Times New Roman" w:hAnsi="Times New Roman" w:cs="Times New Roman"/>
          <w:sz w:val="24"/>
          <w:szCs w:val="24"/>
        </w:rPr>
      </w:pPr>
    </w:p>
    <w:p w:rsidR="00D06D63" w:rsidRPr="00D06D63" w:rsidRDefault="00D06D63" w:rsidP="00D06D63">
      <w:pPr>
        <w:widowControl w:val="0"/>
        <w:autoSpaceDE w:val="0"/>
        <w:autoSpaceDN w:val="0"/>
        <w:adjustRightInd w:val="0"/>
        <w:jc w:val="both"/>
        <w:rPr>
          <w:rFonts w:ascii="Times New Roman" w:eastAsia="Times New Roman" w:hAnsi="Times New Roman" w:cs="Times New Roman"/>
          <w:sz w:val="24"/>
          <w:szCs w:val="24"/>
        </w:rPr>
      </w:pPr>
      <w:r w:rsidRPr="00D06D63">
        <w:rPr>
          <w:rFonts w:ascii="Times New Roman" w:eastAsia="Times New Roman" w:hAnsi="Times New Roman" w:cs="Times New Roman"/>
          <w:sz w:val="24"/>
          <w:szCs w:val="24"/>
        </w:rPr>
        <w:t>Dear President and Members</w:t>
      </w:r>
    </w:p>
    <w:p w:rsidR="00D06D63" w:rsidRPr="00D06D63" w:rsidRDefault="00D06D63" w:rsidP="00D06D63">
      <w:pPr>
        <w:keepNext/>
        <w:widowControl w:val="0"/>
        <w:autoSpaceDE w:val="0"/>
        <w:autoSpaceDN w:val="0"/>
        <w:adjustRightInd w:val="0"/>
        <w:spacing w:before="240" w:after="60"/>
        <w:outlineLvl w:val="1"/>
        <w:rPr>
          <w:rFonts w:ascii="Times New Roman" w:eastAsia="Times New Roman" w:hAnsi="Times New Roman" w:cs="Times New Roman"/>
          <w:sz w:val="20"/>
          <w:szCs w:val="24"/>
        </w:rPr>
      </w:pPr>
      <w:r w:rsidRPr="00D06D63">
        <w:rPr>
          <w:rFonts w:ascii="Times New Roman" w:eastAsia="Times New Roman" w:hAnsi="Times New Roman" w:cs="Arial"/>
          <w:bCs/>
          <w:iCs/>
          <w:sz w:val="24"/>
          <w:szCs w:val="28"/>
        </w:rPr>
        <w:t xml:space="preserve">         You have requested the advice of the Law Department regarding City Council Bill 2</w:t>
      </w:r>
      <w:r>
        <w:rPr>
          <w:rFonts w:ascii="Times New Roman" w:eastAsia="Times New Roman" w:hAnsi="Times New Roman" w:cs="Arial"/>
          <w:bCs/>
          <w:iCs/>
          <w:sz w:val="24"/>
          <w:szCs w:val="28"/>
        </w:rPr>
        <w:t>2</w:t>
      </w:r>
      <w:r w:rsidRPr="00D06D63">
        <w:rPr>
          <w:rFonts w:ascii="Times New Roman" w:eastAsia="Times New Roman" w:hAnsi="Times New Roman" w:cs="Arial"/>
          <w:bCs/>
          <w:iCs/>
          <w:sz w:val="24"/>
          <w:szCs w:val="28"/>
        </w:rPr>
        <w:t>-00</w:t>
      </w:r>
      <w:r>
        <w:rPr>
          <w:rFonts w:ascii="Times New Roman" w:eastAsia="Times New Roman" w:hAnsi="Times New Roman" w:cs="Arial"/>
          <w:bCs/>
          <w:iCs/>
          <w:sz w:val="24"/>
          <w:szCs w:val="28"/>
        </w:rPr>
        <w:t>254</w:t>
      </w:r>
      <w:r w:rsidRPr="00D06D63">
        <w:rPr>
          <w:rFonts w:ascii="Times New Roman" w:eastAsia="Times New Roman" w:hAnsi="Times New Roman" w:cs="Arial"/>
          <w:bCs/>
          <w:iCs/>
          <w:sz w:val="24"/>
          <w:szCs w:val="28"/>
        </w:rPr>
        <w:t>.  City Council Bill 2</w:t>
      </w:r>
      <w:r>
        <w:rPr>
          <w:rFonts w:ascii="Times New Roman" w:eastAsia="Times New Roman" w:hAnsi="Times New Roman" w:cs="Arial"/>
          <w:bCs/>
          <w:iCs/>
          <w:sz w:val="24"/>
          <w:szCs w:val="28"/>
        </w:rPr>
        <w:t>2</w:t>
      </w:r>
      <w:r w:rsidRPr="00D06D63">
        <w:rPr>
          <w:rFonts w:ascii="Times New Roman" w:eastAsia="Times New Roman" w:hAnsi="Times New Roman" w:cs="Arial"/>
          <w:bCs/>
          <w:iCs/>
          <w:sz w:val="24"/>
          <w:szCs w:val="28"/>
        </w:rPr>
        <w:t>-0</w:t>
      </w:r>
      <w:r>
        <w:rPr>
          <w:rFonts w:ascii="Times New Roman" w:eastAsia="Times New Roman" w:hAnsi="Times New Roman" w:cs="Arial"/>
          <w:bCs/>
          <w:iCs/>
          <w:sz w:val="24"/>
          <w:szCs w:val="28"/>
        </w:rPr>
        <w:t xml:space="preserve">254 </w:t>
      </w:r>
      <w:r w:rsidRPr="00D06D63">
        <w:rPr>
          <w:rFonts w:ascii="Times New Roman" w:eastAsia="Times New Roman" w:hAnsi="Times New Roman" w:cs="Arial"/>
          <w:bCs/>
          <w:iCs/>
          <w:sz w:val="24"/>
          <w:szCs w:val="28"/>
        </w:rPr>
        <w:t xml:space="preserve">creates the Office of </w:t>
      </w:r>
      <w:r>
        <w:rPr>
          <w:rFonts w:ascii="Times New Roman" w:eastAsia="Times New Roman" w:hAnsi="Times New Roman" w:cs="Arial"/>
          <w:bCs/>
          <w:iCs/>
          <w:sz w:val="24"/>
          <w:szCs w:val="28"/>
        </w:rPr>
        <w:t>Aging</w:t>
      </w:r>
      <w:r w:rsidRPr="00D06D63">
        <w:rPr>
          <w:rFonts w:ascii="Times New Roman" w:eastAsia="Times New Roman" w:hAnsi="Times New Roman" w:cs="Arial"/>
          <w:bCs/>
          <w:iCs/>
          <w:sz w:val="24"/>
          <w:szCs w:val="28"/>
        </w:rPr>
        <w:t xml:space="preserve"> (“Office”) and provides for the administration of the Office.  </w:t>
      </w:r>
    </w:p>
    <w:p w:rsidR="00D06D63" w:rsidRPr="00D06D63" w:rsidRDefault="00D06D63" w:rsidP="00D06D63">
      <w:pPr>
        <w:widowControl w:val="0"/>
        <w:autoSpaceDE w:val="0"/>
        <w:autoSpaceDN w:val="0"/>
        <w:adjustRightInd w:val="0"/>
        <w:rPr>
          <w:rFonts w:ascii="Times New Roman" w:eastAsia="Times New Roman" w:hAnsi="Times New Roman" w:cs="Times New Roman"/>
          <w:b/>
          <w:bCs/>
          <w:sz w:val="24"/>
          <w:szCs w:val="24"/>
        </w:rPr>
      </w:pPr>
    </w:p>
    <w:p w:rsidR="00D06D63" w:rsidRPr="00D06D63" w:rsidRDefault="00D06D63" w:rsidP="00D06D63">
      <w:pPr>
        <w:keepNext/>
        <w:widowControl w:val="0"/>
        <w:autoSpaceDE w:val="0"/>
        <w:autoSpaceDN w:val="0"/>
        <w:adjustRightInd w:val="0"/>
        <w:spacing w:before="240" w:after="60"/>
        <w:outlineLvl w:val="1"/>
        <w:rPr>
          <w:rFonts w:ascii="Times New Roman" w:eastAsia="Times New Roman" w:hAnsi="Times New Roman" w:cs="Times New Roman"/>
          <w:sz w:val="24"/>
          <w:szCs w:val="24"/>
        </w:rPr>
      </w:pPr>
      <w:r w:rsidRPr="00D06D63">
        <w:rPr>
          <w:rFonts w:ascii="Times New Roman" w:eastAsia="Times New Roman" w:hAnsi="Times New Roman" w:cs="Arial"/>
          <w:bCs/>
          <w:iCs/>
          <w:sz w:val="24"/>
          <w:szCs w:val="28"/>
        </w:rPr>
        <w:t xml:space="preserve">          </w:t>
      </w:r>
      <w:r w:rsidRPr="00D06D63">
        <w:rPr>
          <w:rFonts w:ascii="Times New Roman" w:eastAsia="Times New Roman" w:hAnsi="Times New Roman" w:cs="Times New Roman"/>
          <w:sz w:val="24"/>
          <w:szCs w:val="24"/>
        </w:rPr>
        <w:t xml:space="preserve">Section 1(a) of Article VII of the Baltimore City Charter provides that “the executive power of the City is vested in the Mayor, the departments, commissions and boards provided for in this article and the special officers, departments, commissions and boards that may be created by law.”  Charter, Art. VII, §1(a).  Section 2(a) of Article VII allows for ordinances to give additional duties to “a department, officer, commission, board or other municipal agency” so long as those duties are “consistent with the Charter and subject to the supervision of a superior municipal officer or agency.”  Clearly, these Charter provisions give the City Council the </w:t>
      </w:r>
      <w:proofErr w:type="gramStart"/>
      <w:r w:rsidRPr="00D06D63">
        <w:rPr>
          <w:rFonts w:ascii="Times New Roman" w:eastAsia="Times New Roman" w:hAnsi="Times New Roman" w:cs="Times New Roman"/>
          <w:sz w:val="24"/>
          <w:szCs w:val="24"/>
        </w:rPr>
        <w:t>power  by</w:t>
      </w:r>
      <w:proofErr w:type="gramEnd"/>
      <w:r w:rsidRPr="00D06D63">
        <w:rPr>
          <w:rFonts w:ascii="Times New Roman" w:eastAsia="Times New Roman" w:hAnsi="Times New Roman" w:cs="Times New Roman"/>
          <w:sz w:val="24"/>
          <w:szCs w:val="24"/>
        </w:rPr>
        <w:t xml:space="preserve"> ordinance to create a department or office.</w:t>
      </w:r>
    </w:p>
    <w:p w:rsidR="00D06D63" w:rsidRPr="00D06D63" w:rsidRDefault="00D06D63" w:rsidP="00D06D63">
      <w:pPr>
        <w:keepNext/>
        <w:widowControl w:val="0"/>
        <w:autoSpaceDE w:val="0"/>
        <w:autoSpaceDN w:val="0"/>
        <w:adjustRightInd w:val="0"/>
        <w:spacing w:before="240" w:after="60"/>
        <w:outlineLvl w:val="1"/>
        <w:rPr>
          <w:rFonts w:ascii="Times New Roman" w:eastAsia="Times New Roman" w:hAnsi="Times New Roman" w:cs="Times New Roman"/>
          <w:sz w:val="24"/>
          <w:szCs w:val="24"/>
        </w:rPr>
      </w:pPr>
      <w:r w:rsidRPr="00D06D63">
        <w:rPr>
          <w:rFonts w:ascii="Times New Roman" w:eastAsia="Times New Roman" w:hAnsi="Times New Roman" w:cs="Times New Roman"/>
          <w:sz w:val="24"/>
          <w:szCs w:val="24"/>
        </w:rPr>
        <w:t xml:space="preserve">       </w:t>
      </w:r>
      <w:r w:rsidR="00711BD7">
        <w:rPr>
          <w:rFonts w:ascii="Times New Roman" w:eastAsia="Times New Roman" w:hAnsi="Times New Roman" w:cs="Times New Roman"/>
          <w:sz w:val="24"/>
          <w:szCs w:val="24"/>
        </w:rPr>
        <w:t xml:space="preserve">In </w:t>
      </w:r>
      <w:r w:rsidRPr="00D06D63">
        <w:rPr>
          <w:rFonts w:ascii="Times New Roman" w:eastAsia="Times New Roman" w:hAnsi="Times New Roman" w:cs="Times New Roman"/>
          <w:sz w:val="24"/>
          <w:szCs w:val="24"/>
        </w:rPr>
        <w:t>addition, under Art. IV, Sec. 4 the Mayor is deemed the “chief executive officer of the City [and] shall see that ordinances and resolutions are duly and faithfully executed, and shall have general supervision over all municipal officers and agencies” and “subject to more specific provisions of the Charter, the Mayor shall have general responsibility for the economic development of the City.”  This gives the Mayor’s Office the ability to provide for certain    programs subject to the Charter/s grants of power to departments.</w:t>
      </w:r>
    </w:p>
    <w:p w:rsidR="00D06D63" w:rsidRPr="00D06D63" w:rsidRDefault="00D06D63" w:rsidP="00D06D63">
      <w:pPr>
        <w:keepNext/>
        <w:widowControl w:val="0"/>
        <w:autoSpaceDE w:val="0"/>
        <w:autoSpaceDN w:val="0"/>
        <w:adjustRightInd w:val="0"/>
        <w:spacing w:before="240" w:after="60"/>
        <w:outlineLvl w:val="1"/>
        <w:rPr>
          <w:rFonts w:ascii="Times New Roman" w:eastAsia="Times New Roman" w:hAnsi="Times New Roman" w:cs="Times New Roman"/>
          <w:sz w:val="24"/>
          <w:szCs w:val="24"/>
        </w:rPr>
      </w:pPr>
      <w:r w:rsidRPr="00D06D63">
        <w:rPr>
          <w:rFonts w:ascii="Times New Roman" w:eastAsia="Times New Roman" w:hAnsi="Times New Roman" w:cs="Times New Roman"/>
          <w:sz w:val="24"/>
          <w:szCs w:val="24"/>
        </w:rPr>
        <w:t xml:space="preserve">           With respect to the legislative authority of the City Council, the Md. Constitution, Art. XI, Sec. 3  provides that “f</w:t>
      </w:r>
      <w:r w:rsidRPr="00D06D63">
        <w:rPr>
          <w:rFonts w:ascii="Times New Roman" w:eastAsia="Times New Roman" w:hAnsi="Times New Roman" w:cs="Times New Roman"/>
          <w:sz w:val="24"/>
          <w:szCs w:val="24"/>
          <w:shd w:val="clear" w:color="auto" w:fill="FFFFFF"/>
        </w:rPr>
        <w:t xml:space="preserve">rom and after the adoption of a charter by the City of Baltimore, or any County of this State, as hereinbefore provided, the Mayor of Baltimore and City Council of the City of Baltimore or the County Council of said County, subject to the Constitution and Public General Laws of this State, shall have full power to enact local laws of said City or County including the power to repeal or amend local laws of said City or County enacted by the General Assembly, upon all matters covered by the express powers granted </w:t>
      </w:r>
      <w:r w:rsidRPr="00D06D63">
        <w:rPr>
          <w:rFonts w:ascii="Times New Roman" w:eastAsia="Times New Roman" w:hAnsi="Times New Roman" w:cs="Times New Roman"/>
          <w:color w:val="3D3D3D"/>
          <w:sz w:val="24"/>
          <w:szCs w:val="24"/>
          <w:shd w:val="clear" w:color="auto" w:fill="FFFFFF"/>
        </w:rPr>
        <w:t>….”</w:t>
      </w:r>
      <w:r w:rsidRPr="00D06D63">
        <w:rPr>
          <w:rFonts w:ascii="Times New Roman" w:eastAsia="Times New Roman" w:hAnsi="Times New Roman" w:cs="Times New Roman"/>
          <w:sz w:val="24"/>
          <w:szCs w:val="24"/>
        </w:rPr>
        <w:t xml:space="preserve"> </w:t>
      </w:r>
    </w:p>
    <w:p w:rsidR="00D06D63" w:rsidRPr="00D06D63" w:rsidRDefault="00D06D63" w:rsidP="00D06D63">
      <w:pPr>
        <w:widowControl w:val="0"/>
        <w:autoSpaceDE w:val="0"/>
        <w:autoSpaceDN w:val="0"/>
        <w:adjustRightInd w:val="0"/>
        <w:rPr>
          <w:rFonts w:ascii="Times New Roman" w:eastAsia="Times New Roman" w:hAnsi="Times New Roman" w:cs="Times New Roman"/>
          <w:sz w:val="24"/>
          <w:szCs w:val="24"/>
        </w:rPr>
      </w:pPr>
      <w:r w:rsidRPr="00D06D63">
        <w:rPr>
          <w:rFonts w:ascii="Times New Roman" w:eastAsia="Times New Roman" w:hAnsi="Times New Roman" w:cs="Times New Roman"/>
          <w:sz w:val="24"/>
          <w:szCs w:val="24"/>
        </w:rPr>
        <w:t xml:space="preserve">         </w:t>
      </w:r>
    </w:p>
    <w:p w:rsidR="00D06D63" w:rsidRPr="00D06D63" w:rsidRDefault="00D06D63" w:rsidP="00D06D63">
      <w:pPr>
        <w:widowControl w:val="0"/>
        <w:autoSpaceDE w:val="0"/>
        <w:autoSpaceDN w:val="0"/>
        <w:adjustRightInd w:val="0"/>
        <w:rPr>
          <w:rFonts w:ascii="Times New Roman" w:eastAsia="Times New Roman" w:hAnsi="Times New Roman" w:cs="Times New Roman"/>
          <w:sz w:val="24"/>
          <w:szCs w:val="24"/>
        </w:rPr>
      </w:pPr>
      <w:r w:rsidRPr="00D06D63">
        <w:rPr>
          <w:rFonts w:ascii="Times New Roman" w:eastAsia="Times New Roman" w:hAnsi="Times New Roman" w:cs="Times New Roman"/>
          <w:sz w:val="24"/>
          <w:szCs w:val="24"/>
        </w:rPr>
        <w:t xml:space="preserve">           From these provisions, it can be gleaned that a department, board or commission may be created by laws other than the Charter but in order for the City Council to do this by ordinance, the power to provide for the purpose of the office must also be within the express powers of the Mayor and City Council granted to it by the General Assembly or granted by public general law. There is no specific authority in the City’s Express Powers </w:t>
      </w:r>
      <w:proofErr w:type="gramStart"/>
      <w:r w:rsidRPr="00D06D63">
        <w:rPr>
          <w:rFonts w:ascii="Times New Roman" w:eastAsia="Times New Roman" w:hAnsi="Times New Roman" w:cs="Times New Roman"/>
          <w:sz w:val="24"/>
          <w:szCs w:val="24"/>
        </w:rPr>
        <w:t>i.e.</w:t>
      </w:r>
      <w:proofErr w:type="gramEnd"/>
      <w:r w:rsidRPr="00D06D63">
        <w:rPr>
          <w:rFonts w:ascii="Times New Roman" w:eastAsia="Times New Roman" w:hAnsi="Times New Roman" w:cs="Times New Roman"/>
          <w:sz w:val="24"/>
          <w:szCs w:val="24"/>
        </w:rPr>
        <w:t xml:space="preserve"> Art. II of the Charter or in public general law to provide for the purpose of the Office which is to advise the Mayor and City Council on issues relating to the</w:t>
      </w:r>
      <w:r w:rsidR="00711BD7">
        <w:rPr>
          <w:rFonts w:ascii="Times New Roman" w:eastAsia="Times New Roman" w:hAnsi="Times New Roman" w:cs="Times New Roman"/>
          <w:sz w:val="24"/>
          <w:szCs w:val="24"/>
        </w:rPr>
        <w:t xml:space="preserve"> needs of Baltimore aging population</w:t>
      </w:r>
      <w:r w:rsidRPr="00D06D63">
        <w:rPr>
          <w:rFonts w:ascii="Times New Roman" w:eastAsia="Times New Roman" w:hAnsi="Times New Roman" w:cs="Times New Roman"/>
          <w:sz w:val="24"/>
          <w:szCs w:val="24"/>
        </w:rPr>
        <w:t>.  However, the Charter does grant to the MCCB</w:t>
      </w:r>
      <w:r w:rsidRPr="00D06D63">
        <w:rPr>
          <w:rFonts w:ascii="Calibri" w:eastAsia="Calibri" w:hAnsi="Calibri" w:cs="Times New Roman"/>
        </w:rPr>
        <w:t xml:space="preserve"> t</w:t>
      </w:r>
      <w:r w:rsidRPr="00D06D63">
        <w:rPr>
          <w:rFonts w:ascii="Times New Roman" w:eastAsia="Times New Roman" w:hAnsi="Times New Roman" w:cs="Times New Roman"/>
          <w:sz w:val="24"/>
          <w:szCs w:val="24"/>
        </w:rPr>
        <w:t xml:space="preserve">o have and exercise within the limits of Baltimore City all the power commonly known as the Police Power to the same extent as the State has or could exercise that power within the limits of Baltimore City. See Art. II, Sec.27 and the power to pass any ordinance not inconsistent with the provisions of the Charter or the laws of the State, which it may deem proper in the exercise of any of the powers, either express or implied, enumerated in this Charter, was well as any ordinance as it may deem proper in maintaining the peace, good government, health and welfare of Baltimore City…” See Art. II. Sec 47. Providing for an office to </w:t>
      </w:r>
      <w:r w:rsidR="009718DE">
        <w:rPr>
          <w:rFonts w:ascii="Times New Roman" w:eastAsia="Times New Roman" w:hAnsi="Times New Roman" w:cs="Times New Roman"/>
          <w:sz w:val="24"/>
          <w:szCs w:val="24"/>
        </w:rPr>
        <w:t xml:space="preserve">provide for the needs of the City’s aging population </w:t>
      </w:r>
      <w:r w:rsidRPr="00D06D63">
        <w:rPr>
          <w:rFonts w:ascii="Times New Roman" w:eastAsia="Times New Roman" w:hAnsi="Times New Roman" w:cs="Times New Roman"/>
          <w:sz w:val="24"/>
          <w:szCs w:val="24"/>
        </w:rPr>
        <w:t>is within the scope of these powers.</w:t>
      </w:r>
    </w:p>
    <w:p w:rsidR="00D06D63" w:rsidRDefault="00D06D63" w:rsidP="00D06D63">
      <w:pPr>
        <w:widowControl w:val="0"/>
        <w:autoSpaceDE w:val="0"/>
        <w:autoSpaceDN w:val="0"/>
        <w:adjustRightInd w:val="0"/>
        <w:rPr>
          <w:rFonts w:ascii="Times New Roman" w:eastAsia="Times New Roman" w:hAnsi="Times New Roman" w:cs="Times New Roman"/>
          <w:sz w:val="24"/>
          <w:szCs w:val="24"/>
        </w:rPr>
      </w:pPr>
    </w:p>
    <w:p w:rsidR="009718DE" w:rsidRPr="00D06D63" w:rsidRDefault="00711BD7" w:rsidP="00D06D63">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718DE">
        <w:rPr>
          <w:rFonts w:ascii="Times New Roman" w:eastAsia="Times New Roman" w:hAnsi="Times New Roman" w:cs="Times New Roman"/>
          <w:sz w:val="24"/>
          <w:szCs w:val="24"/>
        </w:rPr>
        <w:t>The Law Department has one concern regarding the Commission on Aging. The Bill calls for a 24</w:t>
      </w:r>
      <w:r w:rsidR="001F615E">
        <w:rPr>
          <w:rFonts w:ascii="Times New Roman" w:eastAsia="Times New Roman" w:hAnsi="Times New Roman" w:cs="Times New Roman"/>
          <w:sz w:val="24"/>
          <w:szCs w:val="24"/>
        </w:rPr>
        <w:t>-</w:t>
      </w:r>
      <w:r w:rsidR="009718DE">
        <w:rPr>
          <w:rFonts w:ascii="Times New Roman" w:eastAsia="Times New Roman" w:hAnsi="Times New Roman" w:cs="Times New Roman"/>
          <w:sz w:val="24"/>
          <w:szCs w:val="24"/>
        </w:rPr>
        <w:t xml:space="preserve"> </w:t>
      </w:r>
      <w:r w:rsidR="001F615E">
        <w:rPr>
          <w:rFonts w:ascii="Times New Roman" w:eastAsia="Times New Roman" w:hAnsi="Times New Roman" w:cs="Times New Roman"/>
          <w:sz w:val="24"/>
          <w:szCs w:val="24"/>
        </w:rPr>
        <w:t>m</w:t>
      </w:r>
      <w:r w:rsidR="009718DE">
        <w:rPr>
          <w:rFonts w:ascii="Times New Roman" w:eastAsia="Times New Roman" w:hAnsi="Times New Roman" w:cs="Times New Roman"/>
          <w:sz w:val="24"/>
          <w:szCs w:val="24"/>
        </w:rPr>
        <w:t>ember commission with a broad variety of people.  Th City Council should be aware that it cannot compel representatives of private entities to serv</w:t>
      </w:r>
      <w:r w:rsidR="001F615E">
        <w:rPr>
          <w:rFonts w:ascii="Times New Roman" w:eastAsia="Times New Roman" w:hAnsi="Times New Roman" w:cs="Times New Roman"/>
          <w:sz w:val="24"/>
          <w:szCs w:val="24"/>
        </w:rPr>
        <w:t>e</w:t>
      </w:r>
      <w:r w:rsidR="009718DE">
        <w:rPr>
          <w:rFonts w:ascii="Times New Roman" w:eastAsia="Times New Roman" w:hAnsi="Times New Roman" w:cs="Times New Roman"/>
          <w:sz w:val="24"/>
          <w:szCs w:val="24"/>
        </w:rPr>
        <w:t>.</w:t>
      </w:r>
    </w:p>
    <w:p w:rsidR="00D06D63" w:rsidRPr="00D06D63" w:rsidRDefault="00D06D63" w:rsidP="00D06D63">
      <w:pPr>
        <w:widowControl w:val="0"/>
        <w:autoSpaceDE w:val="0"/>
        <w:autoSpaceDN w:val="0"/>
        <w:adjustRightInd w:val="0"/>
        <w:spacing w:before="240"/>
        <w:rPr>
          <w:rFonts w:ascii="Times New Roman" w:eastAsia="Times New Roman" w:hAnsi="Times New Roman" w:cs="Times New Roman"/>
          <w:sz w:val="24"/>
          <w:szCs w:val="24"/>
        </w:rPr>
      </w:pPr>
      <w:r w:rsidRPr="00D06D63">
        <w:rPr>
          <w:rFonts w:ascii="Times New Roman" w:eastAsia="Times New Roman" w:hAnsi="Times New Roman" w:cs="Times New Roman"/>
          <w:sz w:val="24"/>
          <w:szCs w:val="24"/>
        </w:rPr>
        <w:t xml:space="preserve">          Based on the foregoing analysis, this bill is consistent with the Charter authority of the City Council.    The Law Department can, therefore, approve the bill for form and legal sufficiency.  Please do not hesitate to contact me if you have any questions.</w:t>
      </w:r>
    </w:p>
    <w:p w:rsidR="00D06D63" w:rsidRPr="00D06D63" w:rsidRDefault="00D06D63" w:rsidP="00D06D63">
      <w:pPr>
        <w:widowControl w:val="0"/>
        <w:autoSpaceDE w:val="0"/>
        <w:autoSpaceDN w:val="0"/>
        <w:adjustRightInd w:val="0"/>
        <w:ind w:left="4320" w:firstLine="720"/>
        <w:jc w:val="both"/>
        <w:rPr>
          <w:rFonts w:ascii="Times New Roman" w:eastAsia="Times New Roman" w:hAnsi="Times New Roman" w:cs="Times New Roman"/>
          <w:sz w:val="24"/>
          <w:szCs w:val="24"/>
        </w:rPr>
      </w:pPr>
    </w:p>
    <w:p w:rsidR="00D06D63" w:rsidRPr="00D06D63" w:rsidRDefault="00D06D63" w:rsidP="00D06D63">
      <w:pPr>
        <w:widowControl w:val="0"/>
        <w:autoSpaceDE w:val="0"/>
        <w:autoSpaceDN w:val="0"/>
        <w:adjustRightInd w:val="0"/>
        <w:ind w:left="4320" w:firstLine="720"/>
        <w:jc w:val="both"/>
        <w:rPr>
          <w:rFonts w:ascii="Times New Roman" w:eastAsia="Times New Roman" w:hAnsi="Times New Roman" w:cs="Times New Roman"/>
          <w:sz w:val="24"/>
          <w:szCs w:val="24"/>
        </w:rPr>
      </w:pPr>
    </w:p>
    <w:p w:rsidR="00D06D63" w:rsidRPr="00D06D63" w:rsidRDefault="00D06D63" w:rsidP="00D06D63">
      <w:pPr>
        <w:widowControl w:val="0"/>
        <w:autoSpaceDE w:val="0"/>
        <w:autoSpaceDN w:val="0"/>
        <w:adjustRightInd w:val="0"/>
        <w:jc w:val="both"/>
        <w:rPr>
          <w:rFonts w:ascii="Times New Roman" w:eastAsia="Times New Roman" w:hAnsi="Times New Roman" w:cs="Times New Roman"/>
          <w:sz w:val="24"/>
          <w:szCs w:val="24"/>
        </w:rPr>
      </w:pPr>
      <w:r w:rsidRPr="00D06D63">
        <w:rPr>
          <w:rFonts w:ascii="Times New Roman" w:eastAsia="Times New Roman" w:hAnsi="Times New Roman" w:cs="Times New Roman"/>
          <w:sz w:val="24"/>
          <w:szCs w:val="24"/>
        </w:rPr>
        <w:t xml:space="preserve">                                                                             Sincerely yours,</w:t>
      </w:r>
    </w:p>
    <w:p w:rsidR="00D06D63" w:rsidRPr="00D06D63" w:rsidRDefault="00D06D63" w:rsidP="00D06D63">
      <w:pPr>
        <w:widowControl w:val="0"/>
        <w:tabs>
          <w:tab w:val="center" w:pos="5040"/>
        </w:tabs>
        <w:autoSpaceDE w:val="0"/>
        <w:autoSpaceDN w:val="0"/>
        <w:adjustRightInd w:val="0"/>
        <w:ind w:firstLine="720"/>
        <w:jc w:val="both"/>
        <w:rPr>
          <w:rFonts w:ascii="Times New Roman" w:eastAsia="Times New Roman" w:hAnsi="Times New Roman" w:cs="Times New Roman"/>
          <w:sz w:val="24"/>
          <w:szCs w:val="24"/>
        </w:rPr>
      </w:pPr>
      <w:r w:rsidRPr="00D06D63">
        <w:rPr>
          <w:rFonts w:ascii="Times New Roman" w:eastAsia="Times New Roman" w:hAnsi="Times New Roman" w:cs="Times New Roman"/>
          <w:sz w:val="24"/>
          <w:szCs w:val="24"/>
        </w:rPr>
        <w:t xml:space="preserve"> </w:t>
      </w:r>
      <w:r w:rsidRPr="00D06D63">
        <w:rPr>
          <w:rFonts w:ascii="Times New Roman" w:eastAsia="Times New Roman" w:hAnsi="Times New Roman" w:cs="Times New Roman"/>
          <w:sz w:val="24"/>
          <w:szCs w:val="24"/>
        </w:rPr>
        <w:tab/>
        <w:t xml:space="preserve">        </w:t>
      </w:r>
    </w:p>
    <w:p w:rsidR="00D06D63" w:rsidRPr="00D06D63" w:rsidRDefault="00D06D63" w:rsidP="00D06D63">
      <w:pPr>
        <w:widowControl w:val="0"/>
        <w:autoSpaceDE w:val="0"/>
        <w:autoSpaceDN w:val="0"/>
        <w:adjustRightInd w:val="0"/>
        <w:jc w:val="center"/>
        <w:rPr>
          <w:rFonts w:ascii="Times New Roman" w:eastAsia="Times New Roman" w:hAnsi="Times New Roman" w:cs="Times New Roman"/>
          <w:sz w:val="24"/>
          <w:szCs w:val="24"/>
        </w:rPr>
      </w:pPr>
      <w:r w:rsidRPr="00D06D63">
        <w:rPr>
          <w:rFonts w:ascii="Times New Roman" w:eastAsia="Times New Roman" w:hAnsi="Times New Roman" w:cs="Times New Roman"/>
          <w:sz w:val="24"/>
          <w:szCs w:val="24"/>
        </w:rPr>
        <w:t xml:space="preserve">      </w:t>
      </w:r>
      <w:r w:rsidRPr="00D06D63">
        <w:rPr>
          <w:rFonts w:ascii="Times New Roman" w:eastAsia="Times New Roman" w:hAnsi="Times New Roman" w:cs="Times New Roman"/>
          <w:noProof/>
          <w:sz w:val="20"/>
          <w:szCs w:val="24"/>
        </w:rPr>
        <w:t xml:space="preserve">                                                </w:t>
      </w:r>
      <w:r w:rsidRPr="00D06D63">
        <w:rPr>
          <w:rFonts w:ascii="Times New Roman" w:eastAsia="Times New Roman" w:hAnsi="Times New Roman" w:cs="Times New Roman"/>
          <w:noProof/>
          <w:sz w:val="20"/>
          <w:szCs w:val="24"/>
        </w:rPr>
        <w:drawing>
          <wp:inline distT="0" distB="0" distL="0" distR="0" wp14:anchorId="71ADC4F5" wp14:editId="3269DD7F">
            <wp:extent cx="1447800"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47800" cy="381000"/>
                    </a:xfrm>
                    <a:prstGeom prst="rect">
                      <a:avLst/>
                    </a:prstGeom>
                  </pic:spPr>
                </pic:pic>
              </a:graphicData>
            </a:graphic>
          </wp:inline>
        </w:drawing>
      </w:r>
      <w:r w:rsidRPr="00D06D63">
        <w:rPr>
          <w:rFonts w:ascii="Times New Roman" w:eastAsia="Times New Roman" w:hAnsi="Times New Roman" w:cs="Times New Roman"/>
          <w:sz w:val="24"/>
          <w:szCs w:val="24"/>
        </w:rPr>
        <w:tab/>
      </w:r>
    </w:p>
    <w:p w:rsidR="00D06D63" w:rsidRPr="00D06D63" w:rsidRDefault="00D06D63" w:rsidP="00D06D63">
      <w:pPr>
        <w:widowControl w:val="0"/>
        <w:autoSpaceDE w:val="0"/>
        <w:autoSpaceDN w:val="0"/>
        <w:adjustRightInd w:val="0"/>
        <w:jc w:val="center"/>
        <w:rPr>
          <w:rFonts w:ascii="Times New Roman" w:eastAsia="Times New Roman" w:hAnsi="Times New Roman" w:cs="Times New Roman"/>
          <w:sz w:val="24"/>
          <w:szCs w:val="24"/>
        </w:rPr>
      </w:pPr>
      <w:r w:rsidRPr="00D06D63">
        <w:rPr>
          <w:rFonts w:ascii="Times New Roman" w:eastAsia="Times New Roman" w:hAnsi="Times New Roman" w:cs="Times New Roman"/>
          <w:sz w:val="24"/>
          <w:szCs w:val="24"/>
        </w:rPr>
        <w:tab/>
        <w:t xml:space="preserve">            Elena R. DiPietro</w:t>
      </w:r>
    </w:p>
    <w:p w:rsidR="00D06D63" w:rsidRPr="00D06D63" w:rsidRDefault="00D06D63" w:rsidP="00D06D63">
      <w:pPr>
        <w:widowControl w:val="0"/>
        <w:autoSpaceDE w:val="0"/>
        <w:autoSpaceDN w:val="0"/>
        <w:adjustRightInd w:val="0"/>
        <w:jc w:val="both"/>
        <w:rPr>
          <w:rFonts w:ascii="Times New Roman" w:eastAsia="Times New Roman" w:hAnsi="Times New Roman" w:cs="Times New Roman"/>
          <w:sz w:val="24"/>
          <w:szCs w:val="24"/>
        </w:rPr>
      </w:pPr>
      <w:r w:rsidRPr="00D06D63">
        <w:rPr>
          <w:rFonts w:ascii="Times New Roman" w:eastAsia="Times New Roman" w:hAnsi="Times New Roman" w:cs="Times New Roman"/>
          <w:sz w:val="24"/>
          <w:szCs w:val="24"/>
        </w:rPr>
        <w:tab/>
      </w:r>
      <w:r w:rsidRPr="00D06D63">
        <w:rPr>
          <w:rFonts w:ascii="Times New Roman" w:eastAsia="Times New Roman" w:hAnsi="Times New Roman" w:cs="Times New Roman"/>
          <w:sz w:val="24"/>
          <w:szCs w:val="24"/>
        </w:rPr>
        <w:tab/>
      </w:r>
      <w:r w:rsidRPr="00D06D63">
        <w:rPr>
          <w:rFonts w:ascii="Times New Roman" w:eastAsia="Times New Roman" w:hAnsi="Times New Roman" w:cs="Times New Roman"/>
          <w:sz w:val="24"/>
          <w:szCs w:val="24"/>
        </w:rPr>
        <w:tab/>
      </w:r>
      <w:r w:rsidRPr="00D06D63">
        <w:rPr>
          <w:rFonts w:ascii="Times New Roman" w:eastAsia="Times New Roman" w:hAnsi="Times New Roman" w:cs="Times New Roman"/>
          <w:sz w:val="24"/>
          <w:szCs w:val="24"/>
        </w:rPr>
        <w:tab/>
      </w:r>
      <w:r w:rsidRPr="00D06D63">
        <w:rPr>
          <w:rFonts w:ascii="Times New Roman" w:eastAsia="Times New Roman" w:hAnsi="Times New Roman" w:cs="Times New Roman"/>
          <w:sz w:val="24"/>
          <w:szCs w:val="24"/>
        </w:rPr>
        <w:tab/>
      </w:r>
      <w:r w:rsidRPr="00D06D63">
        <w:rPr>
          <w:rFonts w:ascii="Times New Roman" w:eastAsia="Times New Roman" w:hAnsi="Times New Roman" w:cs="Times New Roman"/>
          <w:sz w:val="24"/>
          <w:szCs w:val="24"/>
        </w:rPr>
        <w:tab/>
        <w:t xml:space="preserve">    Chief Solicitor</w:t>
      </w:r>
    </w:p>
    <w:p w:rsidR="00D06D63" w:rsidRPr="00D06D63" w:rsidRDefault="00D06D63" w:rsidP="00D06D63">
      <w:pPr>
        <w:widowControl w:val="0"/>
        <w:autoSpaceDE w:val="0"/>
        <w:autoSpaceDN w:val="0"/>
        <w:adjustRightInd w:val="0"/>
        <w:jc w:val="both"/>
        <w:rPr>
          <w:rFonts w:ascii="Times New Roman" w:eastAsia="Times New Roman" w:hAnsi="Times New Roman" w:cs="Times New Roman"/>
          <w:sz w:val="24"/>
          <w:szCs w:val="24"/>
        </w:rPr>
      </w:pPr>
    </w:p>
    <w:p w:rsidR="00D06D63" w:rsidRPr="00D06D63" w:rsidRDefault="00D06D63" w:rsidP="00D06D63">
      <w:pPr>
        <w:widowControl w:val="0"/>
        <w:autoSpaceDE w:val="0"/>
        <w:autoSpaceDN w:val="0"/>
        <w:adjustRightInd w:val="0"/>
        <w:jc w:val="both"/>
        <w:rPr>
          <w:rFonts w:ascii="Times New Roman" w:eastAsia="Times New Roman" w:hAnsi="Times New Roman" w:cs="Times New Roman"/>
          <w:sz w:val="24"/>
          <w:szCs w:val="24"/>
        </w:rPr>
      </w:pPr>
    </w:p>
    <w:p w:rsidR="00CF7F7F" w:rsidRDefault="00CF7F7F" w:rsidP="00D06D63">
      <w:pPr>
        <w:widowControl w:val="0"/>
        <w:autoSpaceDE w:val="0"/>
        <w:autoSpaceDN w:val="0"/>
        <w:adjustRightInd w:val="0"/>
        <w:rPr>
          <w:rFonts w:ascii="Times New Roman" w:eastAsia="Times New Roman" w:hAnsi="Times New Roman" w:cs="Times New Roman"/>
          <w:sz w:val="24"/>
          <w:szCs w:val="24"/>
        </w:rPr>
      </w:pPr>
    </w:p>
    <w:p w:rsidR="00CF7F7F" w:rsidRDefault="00CF7F7F" w:rsidP="00D06D63">
      <w:pPr>
        <w:widowControl w:val="0"/>
        <w:autoSpaceDE w:val="0"/>
        <w:autoSpaceDN w:val="0"/>
        <w:adjustRightInd w:val="0"/>
        <w:rPr>
          <w:rFonts w:ascii="Times New Roman" w:eastAsia="Times New Roman" w:hAnsi="Times New Roman" w:cs="Times New Roman"/>
          <w:sz w:val="24"/>
          <w:szCs w:val="24"/>
        </w:rPr>
      </w:pPr>
    </w:p>
    <w:p w:rsidR="00CF7F7F" w:rsidRDefault="00CF7F7F" w:rsidP="00D06D63">
      <w:pPr>
        <w:widowControl w:val="0"/>
        <w:autoSpaceDE w:val="0"/>
        <w:autoSpaceDN w:val="0"/>
        <w:adjustRightInd w:val="0"/>
        <w:rPr>
          <w:rFonts w:ascii="Times New Roman" w:eastAsia="Times New Roman" w:hAnsi="Times New Roman" w:cs="Times New Roman"/>
          <w:sz w:val="24"/>
          <w:szCs w:val="24"/>
        </w:rPr>
      </w:pPr>
    </w:p>
    <w:p w:rsidR="00CF7F7F" w:rsidRDefault="00CF7F7F" w:rsidP="00D06D63">
      <w:pPr>
        <w:widowControl w:val="0"/>
        <w:autoSpaceDE w:val="0"/>
        <w:autoSpaceDN w:val="0"/>
        <w:adjustRightInd w:val="0"/>
        <w:rPr>
          <w:rFonts w:ascii="Times New Roman" w:eastAsia="Times New Roman" w:hAnsi="Times New Roman" w:cs="Times New Roman"/>
          <w:sz w:val="24"/>
          <w:szCs w:val="24"/>
        </w:rPr>
      </w:pPr>
    </w:p>
    <w:p w:rsidR="00CF7F7F" w:rsidRDefault="00CF7F7F" w:rsidP="00D06D63">
      <w:pPr>
        <w:widowControl w:val="0"/>
        <w:autoSpaceDE w:val="0"/>
        <w:autoSpaceDN w:val="0"/>
        <w:adjustRightInd w:val="0"/>
        <w:rPr>
          <w:rFonts w:ascii="Times New Roman" w:eastAsia="Times New Roman" w:hAnsi="Times New Roman" w:cs="Times New Roman"/>
          <w:sz w:val="24"/>
          <w:szCs w:val="24"/>
        </w:rPr>
      </w:pPr>
    </w:p>
    <w:p w:rsidR="00CF7F7F" w:rsidRDefault="00CF7F7F" w:rsidP="00D06D63">
      <w:pPr>
        <w:widowControl w:val="0"/>
        <w:autoSpaceDE w:val="0"/>
        <w:autoSpaceDN w:val="0"/>
        <w:adjustRightInd w:val="0"/>
        <w:rPr>
          <w:rFonts w:ascii="Times New Roman" w:eastAsia="Times New Roman" w:hAnsi="Times New Roman" w:cs="Times New Roman"/>
          <w:sz w:val="24"/>
          <w:szCs w:val="24"/>
        </w:rPr>
      </w:pPr>
    </w:p>
    <w:p w:rsidR="00D06D63" w:rsidRPr="00D06D63" w:rsidRDefault="00D06D63" w:rsidP="00D06D63">
      <w:pPr>
        <w:widowControl w:val="0"/>
        <w:autoSpaceDE w:val="0"/>
        <w:autoSpaceDN w:val="0"/>
        <w:adjustRightInd w:val="0"/>
        <w:rPr>
          <w:rFonts w:ascii="Times New Roman" w:eastAsia="Times New Roman" w:hAnsi="Times New Roman" w:cs="Times New Roman"/>
        </w:rPr>
      </w:pPr>
      <w:r w:rsidRPr="00D06D63">
        <w:rPr>
          <w:rFonts w:ascii="Times New Roman" w:eastAsia="Times New Roman" w:hAnsi="Times New Roman" w:cs="Times New Roman"/>
          <w:sz w:val="24"/>
          <w:szCs w:val="24"/>
        </w:rPr>
        <w:t xml:space="preserve">cc:  </w:t>
      </w:r>
      <w:r w:rsidR="001F615E">
        <w:rPr>
          <w:rFonts w:ascii="Times New Roman" w:eastAsia="Times New Roman" w:hAnsi="Times New Roman" w:cs="Times New Roman"/>
          <w:sz w:val="24"/>
          <w:szCs w:val="24"/>
        </w:rPr>
        <w:t>Ebony Thompson</w:t>
      </w:r>
      <w:bookmarkStart w:id="1" w:name="_Hlk52463538"/>
      <w:r w:rsidR="00CF7F7F">
        <w:rPr>
          <w:rFonts w:ascii="Times New Roman" w:eastAsia="Times New Roman" w:hAnsi="Times New Roman" w:cs="Times New Roman"/>
          <w:sz w:val="24"/>
          <w:szCs w:val="24"/>
        </w:rPr>
        <w:t xml:space="preserve">, </w:t>
      </w:r>
      <w:r w:rsidRPr="00D06D63">
        <w:rPr>
          <w:rFonts w:ascii="Times New Roman" w:eastAsia="Times New Roman" w:hAnsi="Times New Roman" w:cs="Times New Roman"/>
        </w:rPr>
        <w:t>City Solicitor</w:t>
      </w:r>
    </w:p>
    <w:p w:rsidR="00D06D63" w:rsidRDefault="00D06D63" w:rsidP="00D06D63">
      <w:pPr>
        <w:widowControl w:val="0"/>
        <w:autoSpaceDE w:val="0"/>
        <w:autoSpaceDN w:val="0"/>
        <w:adjustRightInd w:val="0"/>
        <w:rPr>
          <w:rFonts w:ascii="Times New Roman" w:eastAsia="Times New Roman" w:hAnsi="Times New Roman" w:cs="Times New Roman"/>
        </w:rPr>
      </w:pPr>
      <w:r w:rsidRPr="00D06D63">
        <w:rPr>
          <w:rFonts w:ascii="Times New Roman" w:eastAsia="Times New Roman" w:hAnsi="Times New Roman" w:cs="Times New Roman"/>
        </w:rPr>
        <w:t xml:space="preserve">       Stephen Salsbury</w:t>
      </w:r>
    </w:p>
    <w:p w:rsidR="00162A2E" w:rsidRPr="00D06D63" w:rsidRDefault="00162A2E" w:rsidP="00D06D63">
      <w:pPr>
        <w:widowControl w:val="0"/>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 xml:space="preserve">       Matthew Bradford</w:t>
      </w:r>
    </w:p>
    <w:p w:rsidR="00D06D63" w:rsidRPr="00D06D63" w:rsidRDefault="001F615E" w:rsidP="00D06D63">
      <w:pPr>
        <w:ind w:left="720" w:hanging="720"/>
        <w:rPr>
          <w:rFonts w:ascii="Times New Roman" w:eastAsia="Times New Roman" w:hAnsi="Times New Roman" w:cs="Times New Roman"/>
        </w:rPr>
      </w:pPr>
      <w:r>
        <w:rPr>
          <w:rFonts w:ascii="Times New Roman" w:eastAsia="Times New Roman" w:hAnsi="Times New Roman" w:cs="Times New Roman"/>
        </w:rPr>
        <w:t xml:space="preserve">       </w:t>
      </w:r>
      <w:r w:rsidR="00D06D63" w:rsidRPr="00D06D63">
        <w:rPr>
          <w:rFonts w:ascii="Times New Roman" w:eastAsia="Times New Roman" w:hAnsi="Times New Roman" w:cs="Times New Roman"/>
        </w:rPr>
        <w:t>Nikki Thompson, President’s Office</w:t>
      </w:r>
    </w:p>
    <w:p w:rsidR="00D06D63" w:rsidRPr="00D06D63" w:rsidRDefault="00D06D63" w:rsidP="00D06D63">
      <w:pPr>
        <w:ind w:left="720" w:hanging="720"/>
        <w:rPr>
          <w:rFonts w:ascii="Times New Roman" w:eastAsia="Times New Roman" w:hAnsi="Times New Roman" w:cs="Times New Roman"/>
        </w:rPr>
      </w:pPr>
      <w:r w:rsidRPr="00D06D63">
        <w:rPr>
          <w:rFonts w:ascii="Times New Roman" w:eastAsia="Times New Roman" w:hAnsi="Times New Roman" w:cs="Times New Roman"/>
        </w:rPr>
        <w:t xml:space="preserve">       </w:t>
      </w:r>
      <w:r w:rsidR="001F615E">
        <w:rPr>
          <w:rFonts w:ascii="Times New Roman" w:eastAsia="Times New Roman" w:hAnsi="Times New Roman" w:cs="Times New Roman"/>
        </w:rPr>
        <w:t>N</w:t>
      </w:r>
      <w:r w:rsidRPr="00D06D63">
        <w:rPr>
          <w:rFonts w:ascii="Times New Roman" w:eastAsia="Times New Roman" w:hAnsi="Times New Roman" w:cs="Times New Roman"/>
        </w:rPr>
        <w:t>ina Themelis, MOGR</w:t>
      </w:r>
    </w:p>
    <w:p w:rsidR="00D06D63" w:rsidRPr="00D06D63" w:rsidRDefault="00D06D63" w:rsidP="00D06D63">
      <w:pPr>
        <w:ind w:left="720" w:hanging="720"/>
        <w:rPr>
          <w:rFonts w:ascii="Times New Roman" w:eastAsia="Times New Roman" w:hAnsi="Times New Roman" w:cs="Times New Roman"/>
        </w:rPr>
      </w:pPr>
      <w:r w:rsidRPr="00D06D63">
        <w:rPr>
          <w:rFonts w:ascii="Times New Roman" w:eastAsia="Times New Roman" w:hAnsi="Times New Roman" w:cs="Times New Roman"/>
        </w:rPr>
        <w:t xml:space="preserve">       Hilary Ruley</w:t>
      </w:r>
    </w:p>
    <w:p w:rsidR="001F615E" w:rsidRDefault="00D06D63" w:rsidP="00D06D63">
      <w:pPr>
        <w:ind w:left="720" w:hanging="720"/>
        <w:rPr>
          <w:rFonts w:ascii="Times New Roman" w:eastAsia="Times New Roman" w:hAnsi="Times New Roman" w:cs="Times New Roman"/>
        </w:rPr>
      </w:pPr>
      <w:r w:rsidRPr="00D06D63">
        <w:rPr>
          <w:rFonts w:ascii="Times New Roman" w:eastAsia="Times New Roman" w:hAnsi="Times New Roman" w:cs="Times New Roman"/>
        </w:rPr>
        <w:t xml:space="preserve">      Ashlea Brown</w:t>
      </w:r>
    </w:p>
    <w:p w:rsidR="001F615E" w:rsidRDefault="001F615E" w:rsidP="00D06D63">
      <w:pPr>
        <w:ind w:left="720" w:hanging="720"/>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Jeff  Hochstetler</w:t>
      </w:r>
      <w:proofErr w:type="gramEnd"/>
    </w:p>
    <w:p w:rsidR="001F615E" w:rsidRDefault="001F615E" w:rsidP="00D06D63">
      <w:pPr>
        <w:ind w:left="720" w:hanging="720"/>
        <w:rPr>
          <w:rFonts w:ascii="Times New Roman" w:eastAsia="Times New Roman" w:hAnsi="Times New Roman" w:cs="Times New Roman"/>
        </w:rPr>
      </w:pPr>
      <w:r>
        <w:rPr>
          <w:rFonts w:ascii="Times New Roman" w:eastAsia="Times New Roman" w:hAnsi="Times New Roman" w:cs="Times New Roman"/>
        </w:rPr>
        <w:t xml:space="preserve">      Dereka Bolden</w:t>
      </w:r>
    </w:p>
    <w:p w:rsidR="001F615E" w:rsidRDefault="001F615E" w:rsidP="00D06D63">
      <w:pPr>
        <w:ind w:left="720" w:hanging="720"/>
        <w:rPr>
          <w:rFonts w:ascii="Times New Roman" w:eastAsia="Times New Roman" w:hAnsi="Times New Roman" w:cs="Times New Roman"/>
        </w:rPr>
      </w:pPr>
      <w:r>
        <w:rPr>
          <w:rFonts w:ascii="Times New Roman" w:eastAsia="Times New Roman" w:hAnsi="Times New Roman" w:cs="Times New Roman"/>
        </w:rPr>
        <w:t xml:space="preserve">      Michel</w:t>
      </w:r>
      <w:r w:rsidR="00CF7F7F">
        <w:rPr>
          <w:rFonts w:ascii="Times New Roman" w:eastAsia="Times New Roman" w:hAnsi="Times New Roman" w:cs="Times New Roman"/>
        </w:rPr>
        <w:t>e</w:t>
      </w:r>
      <w:r>
        <w:rPr>
          <w:rFonts w:ascii="Times New Roman" w:eastAsia="Times New Roman" w:hAnsi="Times New Roman" w:cs="Times New Roman"/>
        </w:rPr>
        <w:t xml:space="preserve"> Toth</w:t>
      </w:r>
    </w:p>
    <w:p w:rsidR="001F615E" w:rsidRDefault="001F615E" w:rsidP="00D06D63">
      <w:pPr>
        <w:ind w:left="720" w:hanging="720"/>
        <w:rPr>
          <w:rFonts w:ascii="Times New Roman" w:eastAsia="Times New Roman" w:hAnsi="Times New Roman" w:cs="Times New Roman"/>
        </w:rPr>
      </w:pPr>
      <w:r>
        <w:rPr>
          <w:rFonts w:ascii="Times New Roman" w:eastAsia="Times New Roman" w:hAnsi="Times New Roman" w:cs="Times New Roman"/>
        </w:rPr>
        <w:t xml:space="preserve">      Teresa Cummings </w:t>
      </w:r>
    </w:p>
    <w:p w:rsidR="001F615E" w:rsidRDefault="001F615E" w:rsidP="00D06D63">
      <w:pPr>
        <w:ind w:left="720" w:hanging="720"/>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Ben  Guthorn</w:t>
      </w:r>
      <w:proofErr w:type="gramEnd"/>
    </w:p>
    <w:p w:rsidR="001F615E" w:rsidRDefault="001F615E" w:rsidP="00D06D63">
      <w:pPr>
        <w:ind w:left="720" w:hanging="720"/>
        <w:rPr>
          <w:rFonts w:ascii="Times New Roman" w:eastAsia="Times New Roman" w:hAnsi="Times New Roman" w:cs="Times New Roman"/>
        </w:rPr>
      </w:pPr>
    </w:p>
    <w:p w:rsidR="001F615E" w:rsidRDefault="001F615E" w:rsidP="00D06D63">
      <w:pPr>
        <w:ind w:left="720" w:hanging="720"/>
        <w:rPr>
          <w:rFonts w:ascii="Times New Roman" w:eastAsia="Times New Roman" w:hAnsi="Times New Roman" w:cs="Times New Roman"/>
        </w:rPr>
      </w:pPr>
      <w:r>
        <w:rPr>
          <w:rFonts w:ascii="Times New Roman" w:eastAsia="Times New Roman" w:hAnsi="Times New Roman" w:cs="Times New Roman"/>
        </w:rPr>
        <w:t>d</w:t>
      </w:r>
    </w:p>
    <w:p w:rsidR="001F615E" w:rsidRDefault="001F615E" w:rsidP="00D06D63">
      <w:pPr>
        <w:ind w:left="720" w:hanging="720"/>
        <w:rPr>
          <w:rFonts w:ascii="Times New Roman" w:eastAsia="Times New Roman" w:hAnsi="Times New Roman" w:cs="Times New Roman"/>
        </w:rPr>
      </w:pPr>
    </w:p>
    <w:p w:rsidR="001F615E" w:rsidRDefault="001F615E" w:rsidP="00D06D63">
      <w:pPr>
        <w:ind w:left="720" w:hanging="720"/>
        <w:rPr>
          <w:rFonts w:ascii="Times New Roman" w:eastAsia="Times New Roman" w:hAnsi="Times New Roman" w:cs="Times New Roman"/>
        </w:rPr>
      </w:pPr>
    </w:p>
    <w:p w:rsidR="001F615E" w:rsidRDefault="001F615E" w:rsidP="00D06D63">
      <w:pPr>
        <w:ind w:left="720" w:hanging="720"/>
        <w:rPr>
          <w:rFonts w:ascii="Times New Roman" w:eastAsia="Times New Roman" w:hAnsi="Times New Roman" w:cs="Times New Roman"/>
        </w:rPr>
      </w:pPr>
    </w:p>
    <w:p w:rsidR="001F615E" w:rsidRDefault="001F615E" w:rsidP="00D06D63">
      <w:pPr>
        <w:ind w:left="720" w:hanging="720"/>
        <w:rPr>
          <w:rFonts w:ascii="Times New Roman" w:eastAsia="Times New Roman" w:hAnsi="Times New Roman" w:cs="Times New Roman"/>
        </w:rPr>
      </w:pPr>
    </w:p>
    <w:p w:rsidR="001F615E" w:rsidRDefault="001F615E" w:rsidP="00D06D63">
      <w:pPr>
        <w:ind w:left="720" w:hanging="720"/>
        <w:rPr>
          <w:rFonts w:ascii="Times New Roman" w:eastAsia="Times New Roman" w:hAnsi="Times New Roman" w:cs="Times New Roman"/>
        </w:rPr>
      </w:pPr>
    </w:p>
    <w:p w:rsidR="001F615E" w:rsidRDefault="001F615E" w:rsidP="00D06D63">
      <w:pPr>
        <w:ind w:left="720" w:hanging="720"/>
        <w:rPr>
          <w:rFonts w:ascii="Times New Roman" w:eastAsia="Times New Roman" w:hAnsi="Times New Roman" w:cs="Times New Roman"/>
        </w:rPr>
      </w:pPr>
    </w:p>
    <w:p w:rsidR="00D06D63" w:rsidRPr="00D06D63" w:rsidRDefault="00D06D63" w:rsidP="00D06D63">
      <w:pPr>
        <w:ind w:left="720" w:hanging="720"/>
        <w:rPr>
          <w:rFonts w:ascii="Times New Roman" w:eastAsia="Times New Roman" w:hAnsi="Times New Roman" w:cs="Times New Roman"/>
          <w:sz w:val="24"/>
          <w:szCs w:val="24"/>
        </w:rPr>
      </w:pPr>
      <w:r w:rsidRPr="00D06D63">
        <w:rPr>
          <w:rFonts w:ascii="Times New Roman" w:eastAsia="Times New Roman" w:hAnsi="Times New Roman" w:cs="Times New Roman"/>
        </w:rPr>
        <w:t xml:space="preserve">             Avery </w:t>
      </w:r>
      <w:r w:rsidRPr="00D06D63">
        <w:rPr>
          <w:rFonts w:ascii="Times New Roman" w:eastAsia="Times New Roman" w:hAnsi="Times New Roman" w:cs="Times New Roman"/>
          <w:sz w:val="24"/>
          <w:szCs w:val="24"/>
        </w:rPr>
        <w:t>Aisenstark, Legislative Reference</w:t>
      </w:r>
      <w:bookmarkEnd w:id="1"/>
    </w:p>
    <w:p w:rsidR="00D06D63" w:rsidRDefault="00D06D63"/>
    <w:sectPr w:rsidR="00D06D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imes New Roman TUR">
    <w:altName w:val="Sylfaen"/>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D63"/>
    <w:rsid w:val="00162A2E"/>
    <w:rsid w:val="001F615E"/>
    <w:rsid w:val="00461CAF"/>
    <w:rsid w:val="0064191B"/>
    <w:rsid w:val="00645252"/>
    <w:rsid w:val="006D3D74"/>
    <w:rsid w:val="00711BD7"/>
    <w:rsid w:val="0083569A"/>
    <w:rsid w:val="009718DE"/>
    <w:rsid w:val="00A9204E"/>
    <w:rsid w:val="00CF7F7F"/>
    <w:rsid w:val="00D06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4D96B9D3"/>
  <w15:chartTrackingRefBased/>
  <w15:docId w15:val="{2F072315-B361-4334-B978-5AB6FE2C8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na.dipietro\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7A8FC591AD0E4B822C207A931D59D0" ma:contentTypeVersion="11" ma:contentTypeDescription="Create a new document." ma:contentTypeScope="" ma:versionID="83b4da356043082ab909e618fb72a0c9">
  <xsd:schema xmlns:xsd="http://www.w3.org/2001/XMLSchema" xmlns:xs="http://www.w3.org/2001/XMLSchema" xmlns:p="http://schemas.microsoft.com/office/2006/metadata/properties" xmlns:ns3="71aeb5b1-0db9-4ca4-897e-3d8f8c31cb21" xmlns:ns4="8cb69c03-b09f-4d65-8004-6eb0b7adde40" targetNamespace="http://schemas.microsoft.com/office/2006/metadata/properties" ma:root="true" ma:fieldsID="214b26d93dc6c41e0c1be0181b204c7b" ns3:_="" ns4:_="">
    <xsd:import namespace="71aeb5b1-0db9-4ca4-897e-3d8f8c31cb21"/>
    <xsd:import namespace="8cb69c03-b09f-4d65-8004-6eb0b7adde4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eb5b1-0db9-4ca4-897e-3d8f8c31cb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b69c03-b09f-4d65-8004-6eb0b7adde4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767E0-C98B-4E67-8FFC-4B8D61BFFA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eb5b1-0db9-4ca4-897e-3d8f8c31cb21"/>
    <ds:schemaRef ds:uri="8cb69c03-b09f-4d65-8004-6eb0b7adde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23FA63-86EF-43DF-80CC-4EC639C01E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3</TotalTime>
  <Pages>1</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DiPietro, Elena (Law Dept)</dc:creator>
  <cp:keywords/>
  <dc:description/>
  <cp:lastModifiedBy>DiPietro, Elena (Law Dept)</cp:lastModifiedBy>
  <cp:revision>2</cp:revision>
  <dcterms:created xsi:type="dcterms:W3CDTF">2023-01-26T18:05:00Z</dcterms:created>
  <dcterms:modified xsi:type="dcterms:W3CDTF">2023-01-26T18:05:00Z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0x010100CC7A8FC591AD0E4B822C207A931D59D0</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