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A" w:rsidRDefault="00BD7C0A" w:rsidP="00BD7C0A">
      <w:pPr>
        <w:tabs>
          <w:tab w:val="center" w:pos="4680"/>
        </w:tabs>
        <w:jc w:val="center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April 2, 2020 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The Honorable President and Members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 xml:space="preserve">  of the Baltimore City Council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Attn: Natawna Austin, Executive Secretary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Room 409, City Hall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100 N. Holliday Street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Baltimore, Maryland 21202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ind w:left="2160" w:hanging="720"/>
        <w:jc w:val="both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Re:</w:t>
      </w:r>
      <w:r w:rsidRPr="00BD7C0A">
        <w:rPr>
          <w:rFonts w:ascii="Times New Roman TUR" w:eastAsia="Times New Roman" w:hAnsi="Times New Roman TUR" w:cs="Times New Roman TUR"/>
          <w:sz w:val="24"/>
          <w:szCs w:val="24"/>
        </w:rPr>
        <w:tab/>
        <w:t>City Council Bill 20-0484– Midtown Community Benefits District and Management Authority – Renewal Through June 30, 2024</w:t>
      </w:r>
    </w:p>
    <w:p w:rsidR="00BD7C0A" w:rsidRPr="00BD7C0A" w:rsidRDefault="00BD7C0A" w:rsidP="00BD7C0A">
      <w:pPr>
        <w:spacing w:after="0" w:line="240" w:lineRule="auto"/>
        <w:ind w:left="2160" w:hanging="720"/>
        <w:jc w:val="both"/>
        <w:rPr>
          <w:rFonts w:ascii="Times New Roman TUR" w:eastAsia="Times New Roman" w:hAnsi="Times New Roman TUR" w:cs="Times New Roman TUR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  <w:r w:rsidRPr="00BD7C0A">
        <w:rPr>
          <w:rFonts w:ascii="Times New Roman TUR" w:eastAsia="Times New Roman" w:hAnsi="Times New Roman TUR" w:cs="Times New Roman TUR"/>
          <w:sz w:val="24"/>
          <w:szCs w:val="24"/>
        </w:rPr>
        <w:t>Dear President and City Council Members:</w:t>
      </w:r>
    </w:p>
    <w:p w:rsidR="00BD7C0A" w:rsidRPr="00BD7C0A" w:rsidRDefault="00BD7C0A" w:rsidP="00BD7C0A">
      <w:pPr>
        <w:spacing w:after="0" w:line="240" w:lineRule="auto"/>
        <w:rPr>
          <w:rFonts w:ascii="Times New Roman TUR" w:eastAsia="Times New Roman" w:hAnsi="Times New Roman TUR" w:cs="Times New Roman TUR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The Law Department has reviewed City Council Bill 20-0484 for form and legal sufficiency.  The bill would renew and continue the Midtown Community Benefits District and Management Authority for another four years.  </w:t>
      </w:r>
    </w:p>
    <w:p w:rsidR="00BD7C0A" w:rsidRPr="00BD7C0A" w:rsidRDefault="00BD7C0A" w:rsidP="00BD7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The District was created by Ordinance 95-0613 pursuant to authorization from the Maryland General Assembly that allowed the City to create community benefits districts.  </w:t>
      </w:r>
      <w:r w:rsidRPr="00BD7C0A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 1994 Md. Laws ch. 732, codified in City Charter, Art. II, §63.  In 1997, the General Assembly passed a law requiring that it reauthorize community benefits districts every four years, but in 2000 transferred the reauthorization function to the Mayor and City Council.  </w:t>
      </w:r>
      <w:r w:rsidRPr="00BD7C0A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 1997 Md. Laws ch. 655; 2000 Md. Laws ch. 89, codified in City Charter, Art. II, §§63(g); (h)(1)(iii).  The reauthorization requirement specific to the Midtown Benefits Management District and Management Authority has been codified in Section 7-16 of Article 14 of the City Code.</w:t>
      </w:r>
    </w:p>
    <w:p w:rsidR="00BD7C0A" w:rsidRPr="00BD7C0A" w:rsidRDefault="00BD7C0A" w:rsidP="00BD7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C0A" w:rsidRPr="00BD7C0A" w:rsidRDefault="00BD7C0A" w:rsidP="00BD7C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>This bill is the required reauthorization pursuant to that section, which the Law Department approves for form and legal sufficiency.</w:t>
      </w:r>
    </w:p>
    <w:p w:rsidR="00BD7C0A" w:rsidRPr="00BD7C0A" w:rsidRDefault="00BD7C0A" w:rsidP="00BD7C0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tabs>
          <w:tab w:val="left" w:pos="486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:rsidR="00BD7C0A" w:rsidRPr="00BD7C0A" w:rsidRDefault="00BD7C0A" w:rsidP="00BD7C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6003CE" w:rsidRDefault="00BD7C0A" w:rsidP="006003CE"/>
    <w:p w:rsidR="00BD7C0A" w:rsidRPr="00BD7C0A" w:rsidRDefault="00BD7C0A" w:rsidP="00BD7C0A">
      <w:pPr>
        <w:tabs>
          <w:tab w:val="left" w:pos="396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>Elena R. DiPietro</w:t>
      </w:r>
    </w:p>
    <w:p w:rsidR="00BD7C0A" w:rsidRPr="00BD7C0A" w:rsidRDefault="00BD7C0A" w:rsidP="00BD7C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>Chief Solicitor</w:t>
      </w:r>
    </w:p>
    <w:p w:rsidR="00BD7C0A" w:rsidRPr="00BD7C0A" w:rsidRDefault="00BD7C0A" w:rsidP="00BD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0A" w:rsidRPr="00BD7C0A" w:rsidRDefault="00BD7C0A" w:rsidP="00BD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Pr="00BD7C0A">
        <w:rPr>
          <w:rFonts w:ascii="Times New Roman" w:eastAsia="Times New Roman" w:hAnsi="Times New Roman" w:cs="Times New Roman"/>
          <w:sz w:val="24"/>
          <w:szCs w:val="24"/>
        </w:rPr>
        <w:tab/>
        <w:t>Dana P. Moore, Acting City Solicitor</w:t>
      </w:r>
    </w:p>
    <w:p w:rsidR="00BD7C0A" w:rsidRPr="00BD7C0A" w:rsidRDefault="00BD7C0A" w:rsidP="00BD7C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ab/>
        <w:t>Matthew Stegman, Mayor’s Legislative Liaison</w:t>
      </w:r>
    </w:p>
    <w:p w:rsidR="00BD7C0A" w:rsidRPr="00BD7C0A" w:rsidRDefault="00BD7C0A" w:rsidP="00BD7C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            Caylin Young, President’s Legislative Director</w:t>
      </w:r>
    </w:p>
    <w:p w:rsidR="00BD7C0A" w:rsidRPr="00BD7C0A" w:rsidRDefault="00BD7C0A" w:rsidP="00BD7C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ab/>
        <w:t>Hilary Ruley, Chief Solicitor</w:t>
      </w:r>
    </w:p>
    <w:p w:rsidR="00BD7C0A" w:rsidRPr="00BD7C0A" w:rsidRDefault="00BD7C0A" w:rsidP="00BD7C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ab/>
        <w:t>Victor Tervala, Chief Solicitor</w:t>
      </w:r>
    </w:p>
    <w:p w:rsidR="00BD7C0A" w:rsidRPr="00BD7C0A" w:rsidRDefault="00BD7C0A" w:rsidP="00BD7C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0A">
        <w:rPr>
          <w:rFonts w:ascii="Times New Roman" w:eastAsia="Times New Roman" w:hAnsi="Times New Roman" w:cs="Times New Roman"/>
          <w:sz w:val="24"/>
          <w:szCs w:val="24"/>
        </w:rPr>
        <w:t xml:space="preserve">            Ashlea Brown, Assistant Solicitor</w:t>
      </w:r>
    </w:p>
    <w:p w:rsidR="004E47CB" w:rsidRPr="00C90DE1" w:rsidRDefault="004E47CB" w:rsidP="00C90DE1">
      <w:pPr>
        <w:jc w:val="center"/>
      </w:pPr>
    </w:p>
    <w:sectPr w:rsidR="004E47CB" w:rsidRPr="00C90DE1" w:rsidSect="00C90DE1">
      <w:footerReference w:type="default" r:id="rId7"/>
      <w:headerReference w:type="first" r:id="rId8"/>
      <w:footerReference w:type="first" r:id="rId9"/>
      <w:pgSz w:w="12240" w:h="15840"/>
      <w:pgMar w:top="72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19" w:rsidRDefault="007F6319" w:rsidP="00B42974">
      <w:pPr>
        <w:spacing w:after="0" w:line="240" w:lineRule="auto"/>
      </w:pPr>
      <w:r>
        <w:separator/>
      </w:r>
    </w:p>
  </w:endnote>
  <w:endnote w:type="continuationSeparator" w:id="0">
    <w:p w:rsidR="007F6319" w:rsidRDefault="007F6319" w:rsidP="00B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-7799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97" w:rsidRPr="00297797" w:rsidRDefault="007836F5">
        <w:pPr>
          <w:pStyle w:val="Footer"/>
          <w:jc w:val="center"/>
          <w:rPr>
            <w:color w:val="7F7F7F" w:themeColor="text1" w:themeTint="80"/>
          </w:rPr>
        </w:pPr>
        <w:fldSimple w:instr=" PAGE   \* MERGEFORMAT ">
          <w:r w:rsidR="00D71464">
            <w:rPr>
              <w:noProof/>
              <w:color w:val="7F7F7F" w:themeColor="text1" w:themeTint="80"/>
            </w:rPr>
            <w:t>2</w:t>
          </w:r>
        </w:fldSimple>
      </w:p>
    </w:sdtContent>
  </w:sdt>
  <w:p w:rsidR="00297797" w:rsidRPr="00297797" w:rsidRDefault="00297797">
    <w:pPr>
      <w:pStyle w:val="Footer"/>
      <w:rPr>
        <w:color w:val="7F7F7F" w:themeColor="text1" w:themeTint="8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7" w:rsidRDefault="00297797" w:rsidP="00A00C5F">
    <w:pPr>
      <w:pStyle w:val="Footer"/>
      <w:tabs>
        <w:tab w:val="left" w:pos="7013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19" w:rsidRDefault="007F6319" w:rsidP="00B42974">
      <w:pPr>
        <w:spacing w:after="0" w:line="240" w:lineRule="auto"/>
      </w:pPr>
      <w:r>
        <w:separator/>
      </w:r>
    </w:p>
  </w:footnote>
  <w:footnote w:type="continuationSeparator" w:id="0">
    <w:p w:rsidR="007F6319" w:rsidRDefault="007F6319" w:rsidP="00B4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15" w:type="dxa"/>
      <w:tblCellMar>
        <w:left w:w="0" w:type="dxa"/>
        <w:right w:w="0" w:type="dxa"/>
      </w:tblCellMar>
      <w:tblLook w:val="04A0"/>
    </w:tblPr>
    <w:tblGrid>
      <w:gridCol w:w="9480"/>
    </w:tblGrid>
    <w:tr w:rsidR="001571C2" w:rsidRPr="00115739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tbl>
          <w:tblPr>
            <w:tblW w:w="9450" w:type="dxa"/>
            <w:jc w:val="center"/>
            <w:tblBorders>
              <w:top w:val="single" w:sz="8" w:space="0" w:color="FFB20F"/>
              <w:bottom w:val="single" w:sz="8" w:space="0" w:color="FFB20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150"/>
            <w:gridCol w:w="3150"/>
            <w:gridCol w:w="3150"/>
          </w:tblGrid>
          <w:tr w:rsidR="001571C2" w:rsidRPr="00115739">
            <w:trPr>
              <w:trHeight w:val="1604"/>
              <w:jc w:val="center"/>
            </w:trPr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</w:tcPr>
              <w:p w:rsidR="005E0E1E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 xml:space="preserve">        </w:t>
                </w:r>
                <w:r w:rsid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>CITY OF BALTIMORE</w:t>
                </w:r>
              </w:p>
              <w:p w:rsidR="0007498F" w:rsidRDefault="0007498F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</w:p>
              <w:p w:rsidR="00A00C5F" w:rsidRPr="005E0E1E" w:rsidRDefault="00865892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</w:pPr>
                <w:r w:rsidRP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b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 xml:space="preserve">ernard </w:t>
                </w:r>
                <w:r w:rsidRP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c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>. “</w:t>
                </w:r>
                <w:r w:rsidRPr="00345B40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j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 xml:space="preserve">ack” </w:t>
                </w:r>
                <w:r w:rsidRP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y</w:t>
                </w:r>
                <w:r w:rsid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>oung</w:t>
                </w:r>
              </w:p>
              <w:p w:rsidR="00D86658" w:rsidRPr="00115739" w:rsidRDefault="00D86658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  <w:t>Mayor</w:t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</w:tcPr>
              <w:p w:rsidR="00EA17FA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12"/>
                    <w:szCs w:val="16"/>
                  </w:rPr>
                </w:pPr>
              </w:p>
              <w:p w:rsidR="00D86658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  <w:drawing>
                    <wp:inline distT="0" distB="0" distL="0" distR="0">
                      <wp:extent cx="825910" cy="99999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ownloa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4027" cy="1034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tcMar>
                  <w:top w:w="0" w:type="dxa"/>
                  <w:left w:w="0" w:type="dxa"/>
                  <w:bottom w:w="120" w:type="dxa"/>
                  <w:right w:w="0" w:type="dxa"/>
                </w:tcMar>
                <w:vAlign w:val="center"/>
              </w:tcPr>
              <w:p w:rsidR="005E0E1E" w:rsidRDefault="005E0E1E" w:rsidP="00071D73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</w:p>
              <w:p w:rsidR="005E0E1E" w:rsidRDefault="005E0E1E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  <w:t>DEPARTMENT OF LAW</w:t>
                </w:r>
              </w:p>
              <w:p w:rsidR="00666183" w:rsidRPr="005E0E1E" w:rsidRDefault="00071D73" w:rsidP="005E0E1E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</w:pP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Andre M. Davis</w:t>
                </w:r>
                <w:r w:rsidR="005E0E1E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, </w:t>
                </w: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City Solicitor</w:t>
                </w:r>
                <w:r w:rsidR="00666183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100 N.</w:t>
                </w: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Holliday Street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  <w:p w:rsidR="00D86658" w:rsidRPr="00071D73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Suite 101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,  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City Hall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Baltimore, MD  21202</w:t>
                </w:r>
              </w:p>
            </w:tc>
          </w:tr>
        </w:tbl>
        <w:p w:rsidR="00D86658" w:rsidRPr="00115739" w:rsidRDefault="00D86658" w:rsidP="005C40FC">
          <w:pPr>
            <w:rPr>
              <w:rFonts w:ascii="Garamond" w:eastAsia="Times New Roman" w:hAnsi="Garamond"/>
              <w:b/>
              <w:color w:val="404040" w:themeColor="text1" w:themeTint="BF"/>
              <w:sz w:val="20"/>
              <w:szCs w:val="20"/>
            </w:rPr>
          </w:pPr>
        </w:p>
      </w:tc>
    </w:tr>
  </w:tbl>
  <w:p w:rsidR="00D86658" w:rsidRPr="00115739" w:rsidRDefault="00D86658" w:rsidP="00A00C5F">
    <w:pPr>
      <w:pStyle w:val="Header"/>
      <w:rPr>
        <w:rFonts w:ascii="Garamond" w:hAnsi="Garamond"/>
        <w:b/>
        <w:color w:val="404040" w:themeColor="text1" w:themeTint="BF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1A40"/>
    <w:multiLevelType w:val="hybridMultilevel"/>
    <w:tmpl w:val="D4229576"/>
    <w:lvl w:ilvl="0" w:tplc="4844D2AA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031528F"/>
    <w:multiLevelType w:val="hybridMultilevel"/>
    <w:tmpl w:val="72CE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2974"/>
    <w:rsid w:val="00071D73"/>
    <w:rsid w:val="0007498F"/>
    <w:rsid w:val="00091434"/>
    <w:rsid w:val="000C79CA"/>
    <w:rsid w:val="00115739"/>
    <w:rsid w:val="001571C2"/>
    <w:rsid w:val="00171118"/>
    <w:rsid w:val="00260402"/>
    <w:rsid w:val="002808FF"/>
    <w:rsid w:val="00297797"/>
    <w:rsid w:val="00345B40"/>
    <w:rsid w:val="00424411"/>
    <w:rsid w:val="00431978"/>
    <w:rsid w:val="004E47CB"/>
    <w:rsid w:val="00591B26"/>
    <w:rsid w:val="005E0E1E"/>
    <w:rsid w:val="006003CE"/>
    <w:rsid w:val="006563DC"/>
    <w:rsid w:val="00666183"/>
    <w:rsid w:val="006F7DB5"/>
    <w:rsid w:val="007753F9"/>
    <w:rsid w:val="007836F5"/>
    <w:rsid w:val="007935E4"/>
    <w:rsid w:val="007F6319"/>
    <w:rsid w:val="00856355"/>
    <w:rsid w:val="00865892"/>
    <w:rsid w:val="008A3E6B"/>
    <w:rsid w:val="008D3665"/>
    <w:rsid w:val="008F03FE"/>
    <w:rsid w:val="00954583"/>
    <w:rsid w:val="00964A67"/>
    <w:rsid w:val="009D06F6"/>
    <w:rsid w:val="00A00C5F"/>
    <w:rsid w:val="00B4037E"/>
    <w:rsid w:val="00B42974"/>
    <w:rsid w:val="00B61495"/>
    <w:rsid w:val="00BD7C0A"/>
    <w:rsid w:val="00C90DE1"/>
    <w:rsid w:val="00CC6E35"/>
    <w:rsid w:val="00D00527"/>
    <w:rsid w:val="00D71464"/>
    <w:rsid w:val="00D86658"/>
    <w:rsid w:val="00DB20AA"/>
    <w:rsid w:val="00E512CC"/>
    <w:rsid w:val="00EA17FA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2974"/>
  </w:style>
  <w:style w:type="paragraph" w:styleId="Footer">
    <w:name w:val="footer"/>
    <w:basedOn w:val="Normal"/>
    <w:link w:val="Foot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74"/>
  </w:style>
  <w:style w:type="character" w:styleId="Hyperlink">
    <w:name w:val="Hyperlink"/>
    <w:basedOn w:val="DefaultParagraphFont"/>
    <w:uiPriority w:val="99"/>
    <w:semiHidden/>
    <w:unhideWhenUsed/>
    <w:rsid w:val="00B4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1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D7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7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Smalkin, Frederic N.C.</dc:creator>
  <cp:lastModifiedBy>Matt Stegman</cp:lastModifiedBy>
  <cp:revision>2</cp:revision>
  <cp:lastPrinted>2019-05-03T14:54:00Z</cp:lastPrinted>
  <dcterms:created xsi:type="dcterms:W3CDTF">2020-04-20T21:28:00Z</dcterms:created>
  <dcterms:modified xsi:type="dcterms:W3CDTF">2020-04-20T21:28:00Z</dcterms:modified>
</cp:coreProperties>
</file>