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C535" w14:textId="116DA003" w:rsidR="005D5EEA" w:rsidRPr="005D5EEA" w:rsidRDefault="00907F92" w:rsidP="005D5EEA">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11</w:t>
      </w:r>
      <w:r w:rsidR="005D5EEA" w:rsidRPr="005D5EEA">
        <w:rPr>
          <w:rFonts w:ascii="Times New Roman" w:eastAsia="Times New Roman" w:hAnsi="Times New Roman" w:cs="Times New Roman"/>
          <w:sz w:val="24"/>
          <w:szCs w:val="24"/>
        </w:rPr>
        <w:t>, 2020</w:t>
      </w:r>
    </w:p>
    <w:p w14:paraId="10DF2ADE" w14:textId="77777777" w:rsidR="005D5EEA" w:rsidRPr="005D5EEA" w:rsidRDefault="005D5EEA" w:rsidP="005D5EEA">
      <w:pPr>
        <w:spacing w:after="0" w:line="240" w:lineRule="auto"/>
        <w:rPr>
          <w:rFonts w:ascii="Times New Roman" w:eastAsia="Times New Roman" w:hAnsi="Times New Roman" w:cs="Times New Roman"/>
          <w:sz w:val="24"/>
          <w:szCs w:val="24"/>
        </w:rPr>
      </w:pPr>
    </w:p>
    <w:p w14:paraId="5C7C4B5B"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The Honorable President and Members</w:t>
      </w:r>
    </w:p>
    <w:p w14:paraId="2763D18E"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of the Baltimore City Council</w:t>
      </w:r>
    </w:p>
    <w:p w14:paraId="3B6AF2DA"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Attn:  </w:t>
      </w:r>
      <w:proofErr w:type="spellStart"/>
      <w:r w:rsidRPr="005D5EEA">
        <w:rPr>
          <w:rFonts w:ascii="Times New Roman" w:eastAsia="Times New Roman" w:hAnsi="Times New Roman" w:cs="Times New Roman"/>
          <w:sz w:val="24"/>
          <w:szCs w:val="24"/>
        </w:rPr>
        <w:t>Natawna</w:t>
      </w:r>
      <w:proofErr w:type="spellEnd"/>
      <w:r w:rsidRPr="005D5EEA">
        <w:rPr>
          <w:rFonts w:ascii="Times New Roman" w:eastAsia="Times New Roman" w:hAnsi="Times New Roman" w:cs="Times New Roman"/>
          <w:sz w:val="24"/>
          <w:szCs w:val="24"/>
        </w:rPr>
        <w:t xml:space="preserve"> B. Austin, Executive Secretary</w:t>
      </w:r>
    </w:p>
    <w:p w14:paraId="10F36CDD"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Room 409, City Hall, 100 N. Holliday Street</w:t>
      </w:r>
    </w:p>
    <w:p w14:paraId="65A421B1"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Baltimore, Maryland 21202</w:t>
      </w:r>
    </w:p>
    <w:p w14:paraId="5B1A8576" w14:textId="588AEF4B" w:rsidR="005D5EEA" w:rsidRDefault="005D5EEA"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2C52B13A" w14:textId="3CBDAE5B" w:rsidR="006E7D4F" w:rsidRDefault="006E7D4F" w:rsidP="006E7D4F">
      <w:pPr>
        <w:ind w:left="720"/>
        <w:rPr>
          <w:rFonts w:ascii="Times New Roman" w:hAnsi="Times New Roman" w:cs="Times New Roman"/>
          <w:sz w:val="24"/>
          <w:szCs w:val="24"/>
        </w:rPr>
      </w:pPr>
      <w:r w:rsidRPr="00E4424A">
        <w:rPr>
          <w:rFonts w:ascii="Times New Roman" w:hAnsi="Times New Roman" w:cs="Times New Roman"/>
          <w:sz w:val="24"/>
          <w:szCs w:val="24"/>
        </w:rPr>
        <w:t xml:space="preserve">Re:  City </w:t>
      </w:r>
      <w:bookmarkStart w:id="0" w:name="_Hlk41393746"/>
      <w:r w:rsidRPr="00E4424A">
        <w:rPr>
          <w:rFonts w:ascii="Times New Roman" w:hAnsi="Times New Roman" w:cs="Times New Roman"/>
          <w:sz w:val="24"/>
          <w:szCs w:val="24"/>
        </w:rPr>
        <w:t xml:space="preserve">Council Bill </w:t>
      </w:r>
      <w:r w:rsidR="00EF570C">
        <w:rPr>
          <w:rFonts w:ascii="Times New Roman" w:hAnsi="Times New Roman" w:cs="Times New Roman"/>
          <w:sz w:val="24"/>
          <w:szCs w:val="24"/>
        </w:rPr>
        <w:t>20-0</w:t>
      </w:r>
      <w:r w:rsidR="00504376">
        <w:rPr>
          <w:rFonts w:ascii="Times New Roman" w:hAnsi="Times New Roman" w:cs="Times New Roman"/>
          <w:sz w:val="24"/>
          <w:szCs w:val="24"/>
        </w:rPr>
        <w:t>5</w:t>
      </w:r>
      <w:r w:rsidR="00907F92">
        <w:rPr>
          <w:rFonts w:ascii="Times New Roman" w:hAnsi="Times New Roman" w:cs="Times New Roman"/>
          <w:sz w:val="24"/>
          <w:szCs w:val="24"/>
        </w:rPr>
        <w:t>39</w:t>
      </w:r>
      <w:r w:rsidR="00EF570C">
        <w:rPr>
          <w:rFonts w:ascii="Times New Roman" w:hAnsi="Times New Roman" w:cs="Times New Roman"/>
          <w:sz w:val="24"/>
          <w:szCs w:val="24"/>
        </w:rPr>
        <w:t xml:space="preserve"> </w:t>
      </w:r>
      <w:bookmarkEnd w:id="0"/>
      <w:r w:rsidR="00EF570C">
        <w:rPr>
          <w:rFonts w:ascii="Times New Roman" w:hAnsi="Times New Roman" w:cs="Times New Roman"/>
          <w:sz w:val="24"/>
          <w:szCs w:val="24"/>
        </w:rPr>
        <w:t xml:space="preserve">- </w:t>
      </w:r>
      <w:r w:rsidR="00504376" w:rsidRPr="00504376">
        <w:rPr>
          <w:rFonts w:ascii="Times New Roman" w:hAnsi="Times New Roman" w:cs="Times New Roman"/>
          <w:sz w:val="24"/>
          <w:szCs w:val="24"/>
        </w:rPr>
        <w:t xml:space="preserve">Rezoning – </w:t>
      </w:r>
      <w:r w:rsidR="00907F92">
        <w:rPr>
          <w:rFonts w:ascii="Times New Roman" w:hAnsi="Times New Roman" w:cs="Times New Roman"/>
          <w:sz w:val="24"/>
          <w:szCs w:val="24"/>
        </w:rPr>
        <w:t>555 Dundalk Avenue and Block 6694, Lot 14</w:t>
      </w:r>
    </w:p>
    <w:p w14:paraId="7B65D715" w14:textId="77777777" w:rsidR="006E7D4F" w:rsidRPr="00E4424A" w:rsidRDefault="006E7D4F" w:rsidP="006E7D4F">
      <w:pPr>
        <w:rPr>
          <w:rFonts w:ascii="Times New Roman" w:hAnsi="Times New Roman" w:cs="Times New Roman"/>
          <w:sz w:val="24"/>
          <w:szCs w:val="24"/>
        </w:rPr>
      </w:pPr>
      <w:r w:rsidRPr="00E4424A">
        <w:rPr>
          <w:rFonts w:ascii="Times New Roman" w:hAnsi="Times New Roman" w:cs="Times New Roman"/>
          <w:sz w:val="24"/>
          <w:szCs w:val="24"/>
        </w:rPr>
        <w:t>Dear President and City Council Members:</w:t>
      </w:r>
    </w:p>
    <w:p w14:paraId="6AA73AAD" w14:textId="7FF48135" w:rsidR="00DB13F3" w:rsidRDefault="006E7D4F" w:rsidP="00DB13F3">
      <w:pPr>
        <w:ind w:firstLine="720"/>
        <w:jc w:val="both"/>
        <w:rPr>
          <w:rFonts w:ascii="Times New Roman" w:hAnsi="Times New Roman" w:cs="Times New Roman"/>
          <w:sz w:val="24"/>
          <w:szCs w:val="24"/>
        </w:rPr>
      </w:pPr>
      <w:r w:rsidRPr="00E4424A">
        <w:rPr>
          <w:rFonts w:ascii="Times New Roman" w:hAnsi="Times New Roman" w:cs="Times New Roman"/>
          <w:sz w:val="24"/>
          <w:szCs w:val="24"/>
        </w:rPr>
        <w:t xml:space="preserve">The Law Department has reviewed City Council Bill </w:t>
      </w:r>
      <w:r>
        <w:rPr>
          <w:rFonts w:ascii="Times New Roman" w:hAnsi="Times New Roman" w:cs="Times New Roman"/>
          <w:sz w:val="24"/>
          <w:szCs w:val="24"/>
        </w:rPr>
        <w:t>20-0</w:t>
      </w:r>
      <w:r w:rsidR="00504376">
        <w:rPr>
          <w:rFonts w:ascii="Times New Roman" w:hAnsi="Times New Roman" w:cs="Times New Roman"/>
          <w:sz w:val="24"/>
          <w:szCs w:val="24"/>
        </w:rPr>
        <w:t>5</w:t>
      </w:r>
      <w:r w:rsidR="00DB13F3">
        <w:rPr>
          <w:rFonts w:ascii="Times New Roman" w:hAnsi="Times New Roman" w:cs="Times New Roman"/>
          <w:sz w:val="24"/>
          <w:szCs w:val="24"/>
        </w:rPr>
        <w:t>39</w:t>
      </w:r>
      <w:r>
        <w:rPr>
          <w:rFonts w:ascii="Times New Roman" w:hAnsi="Times New Roman" w:cs="Times New Roman"/>
          <w:sz w:val="24"/>
          <w:szCs w:val="24"/>
        </w:rPr>
        <w:t xml:space="preserve"> </w:t>
      </w:r>
      <w:r w:rsidRPr="00E4424A">
        <w:rPr>
          <w:rFonts w:ascii="Times New Roman" w:hAnsi="Times New Roman" w:cs="Times New Roman"/>
          <w:sz w:val="24"/>
          <w:szCs w:val="24"/>
        </w:rPr>
        <w:t xml:space="preserve">for form and legal sufficiency.  The bill </w:t>
      </w:r>
      <w:r w:rsidR="00504376" w:rsidRPr="00504376">
        <w:rPr>
          <w:rFonts w:ascii="Times New Roman" w:hAnsi="Times New Roman" w:cs="Times New Roman"/>
          <w:sz w:val="24"/>
          <w:szCs w:val="24"/>
        </w:rPr>
        <w:t>chang</w:t>
      </w:r>
      <w:r w:rsidR="00504376">
        <w:rPr>
          <w:rFonts w:ascii="Times New Roman" w:hAnsi="Times New Roman" w:cs="Times New Roman"/>
          <w:sz w:val="24"/>
          <w:szCs w:val="24"/>
        </w:rPr>
        <w:t>es</w:t>
      </w:r>
      <w:r w:rsidR="00504376" w:rsidRPr="00504376">
        <w:rPr>
          <w:rFonts w:ascii="Times New Roman" w:hAnsi="Times New Roman" w:cs="Times New Roman"/>
          <w:sz w:val="24"/>
          <w:szCs w:val="24"/>
        </w:rPr>
        <w:t xml:space="preserve"> the zoning for the property known as </w:t>
      </w:r>
      <w:r w:rsidR="00DB13F3" w:rsidRPr="00DB13F3">
        <w:rPr>
          <w:rFonts w:ascii="Times New Roman" w:hAnsi="Times New Roman" w:cs="Times New Roman"/>
          <w:sz w:val="24"/>
          <w:szCs w:val="24"/>
        </w:rPr>
        <w:t>555 Dundalk Avenue and Block 6694, Lot 142</w:t>
      </w:r>
      <w:r w:rsidR="00DB13F3">
        <w:rPr>
          <w:rFonts w:ascii="Times New Roman" w:hAnsi="Times New Roman" w:cs="Times New Roman"/>
          <w:sz w:val="24"/>
          <w:szCs w:val="24"/>
        </w:rPr>
        <w:t xml:space="preserve"> </w:t>
      </w:r>
      <w:r w:rsidR="00DB13F3" w:rsidRPr="00DB13F3">
        <w:rPr>
          <w:rFonts w:ascii="Times New Roman" w:hAnsi="Times New Roman" w:cs="Times New Roman"/>
          <w:sz w:val="24"/>
          <w:szCs w:val="24"/>
        </w:rPr>
        <w:t>from the I-1 Zoning District to the IMU-2 Zoning District</w:t>
      </w:r>
      <w:r w:rsidR="00DB13F3">
        <w:rPr>
          <w:rFonts w:ascii="Times New Roman" w:hAnsi="Times New Roman" w:cs="Times New Roman"/>
          <w:sz w:val="24"/>
          <w:szCs w:val="24"/>
        </w:rPr>
        <w:t xml:space="preserve">. The bill also </w:t>
      </w:r>
      <w:r w:rsidR="00DB13F3" w:rsidRPr="00DB13F3">
        <w:rPr>
          <w:rFonts w:ascii="Times New Roman" w:hAnsi="Times New Roman" w:cs="Times New Roman"/>
          <w:sz w:val="24"/>
          <w:szCs w:val="24"/>
        </w:rPr>
        <w:t>provid</w:t>
      </w:r>
      <w:r w:rsidR="00DB13F3">
        <w:rPr>
          <w:rFonts w:ascii="Times New Roman" w:hAnsi="Times New Roman" w:cs="Times New Roman"/>
          <w:sz w:val="24"/>
          <w:szCs w:val="24"/>
        </w:rPr>
        <w:t xml:space="preserve">es </w:t>
      </w:r>
      <w:r w:rsidR="00DB13F3" w:rsidRPr="00DB13F3">
        <w:rPr>
          <w:rFonts w:ascii="Times New Roman" w:hAnsi="Times New Roman" w:cs="Times New Roman"/>
          <w:sz w:val="24"/>
          <w:szCs w:val="24"/>
        </w:rPr>
        <w:t>for a special effective date.</w:t>
      </w:r>
      <w:r w:rsidR="00DB13F3">
        <w:rPr>
          <w:rFonts w:ascii="Times New Roman" w:hAnsi="Times New Roman" w:cs="Times New Roman"/>
          <w:sz w:val="24"/>
          <w:szCs w:val="24"/>
        </w:rPr>
        <w:t xml:space="preserve"> </w:t>
      </w:r>
    </w:p>
    <w:p w14:paraId="2044193C" w14:textId="0B1974EC" w:rsidR="00B23BB5" w:rsidRDefault="00B23BB5" w:rsidP="00DB13F3">
      <w:pPr>
        <w:ind w:firstLine="720"/>
        <w:jc w:val="both"/>
        <w:rPr>
          <w:rFonts w:ascii="Times New Roman" w:hAnsi="Times New Roman" w:cs="Times New Roman"/>
          <w:sz w:val="24"/>
          <w:szCs w:val="24"/>
        </w:rPr>
      </w:pPr>
      <w:r w:rsidRPr="00B23BB5">
        <w:rPr>
          <w:rFonts w:ascii="Times New Roman" w:hAnsi="Times New Roman" w:cs="Times New Roman"/>
          <w:sz w:val="24"/>
          <w:szCs w:val="24"/>
        </w:rPr>
        <w:t>The City Council may permit th</w:t>
      </w:r>
      <w:r w:rsidR="00922B5F">
        <w:rPr>
          <w:rFonts w:ascii="Times New Roman" w:hAnsi="Times New Roman" w:cs="Times New Roman"/>
          <w:sz w:val="24"/>
          <w:szCs w:val="24"/>
        </w:rPr>
        <w:t xml:space="preserve">e proposed </w:t>
      </w:r>
      <w:r w:rsidRPr="00B23BB5">
        <w:rPr>
          <w:rFonts w:ascii="Times New Roman" w:hAnsi="Times New Roman" w:cs="Times New Roman"/>
          <w:sz w:val="24"/>
          <w:szCs w:val="24"/>
        </w:rPr>
        <w:t xml:space="preserve">rezoning if it finds facts sufficient to show either a mistake in the existing zoning classification or a substantial change in the character of the neighborhood.  Md. Code, Land Use, §10-304(b)(2); Baltimore City Code, Art. 32, §§5-508(a) and (b)(1).  </w:t>
      </w:r>
    </w:p>
    <w:p w14:paraId="6EBF71E1" w14:textId="77777777" w:rsidR="00B23BB5" w:rsidRPr="00B23BB5" w:rsidRDefault="00B23BB5" w:rsidP="00B23BB5">
      <w:pPr>
        <w:ind w:firstLine="720"/>
        <w:jc w:val="both"/>
        <w:rPr>
          <w:rFonts w:ascii="Times New Roman" w:hAnsi="Times New Roman" w:cs="Times New Roman"/>
          <w:sz w:val="24"/>
          <w:szCs w:val="24"/>
        </w:rPr>
      </w:pPr>
      <w:r>
        <w:rPr>
          <w:rFonts w:ascii="Times New Roman" w:hAnsi="Times New Roman" w:cs="Times New Roman"/>
          <w:sz w:val="24"/>
          <w:szCs w:val="24"/>
        </w:rPr>
        <w:t xml:space="preserve">In determining whether the proposed rezoning meets either standard, </w:t>
      </w:r>
      <w:r w:rsidRPr="00B23BB5">
        <w:rPr>
          <w:rFonts w:ascii="Times New Roman" w:hAnsi="Times New Roman" w:cs="Times New Roman"/>
          <w:sz w:val="24"/>
          <w:szCs w:val="24"/>
        </w:rPr>
        <w:t>the City Council is required to make findings of fact</w:t>
      </w:r>
      <w:r>
        <w:rPr>
          <w:rFonts w:ascii="Times New Roman" w:hAnsi="Times New Roman" w:cs="Times New Roman"/>
          <w:sz w:val="24"/>
          <w:szCs w:val="24"/>
        </w:rPr>
        <w:t xml:space="preserve"> </w:t>
      </w:r>
      <w:r w:rsidRPr="00B23BB5">
        <w:rPr>
          <w:rFonts w:ascii="Times New Roman" w:hAnsi="Times New Roman" w:cs="Times New Roman"/>
          <w:sz w:val="24"/>
          <w:szCs w:val="24"/>
        </w:rPr>
        <w:t>on the following matters:</w:t>
      </w:r>
      <w:r>
        <w:rPr>
          <w:rFonts w:ascii="Times New Roman" w:hAnsi="Times New Roman" w:cs="Times New Roman"/>
          <w:sz w:val="24"/>
          <w:szCs w:val="24"/>
        </w:rPr>
        <w:t xml:space="preserve"> </w:t>
      </w:r>
      <w:r w:rsidRPr="00B23BB5">
        <w:rPr>
          <w:rFonts w:ascii="Times New Roman" w:hAnsi="Times New Roman" w:cs="Times New Roman"/>
          <w:sz w:val="24"/>
          <w:szCs w:val="24"/>
        </w:rPr>
        <w:t>(1) population change; (2) the availability of public facilities;</w:t>
      </w:r>
      <w:r>
        <w:rPr>
          <w:rFonts w:ascii="Times New Roman" w:hAnsi="Times New Roman" w:cs="Times New Roman"/>
          <w:sz w:val="24"/>
          <w:szCs w:val="24"/>
        </w:rPr>
        <w:t xml:space="preserve"> </w:t>
      </w:r>
      <w:r w:rsidRPr="00B23BB5">
        <w:rPr>
          <w:rFonts w:ascii="Times New Roman" w:hAnsi="Times New Roman" w:cs="Times New Roman"/>
          <w:sz w:val="24"/>
          <w:szCs w:val="24"/>
        </w:rPr>
        <w:t>(3) the present and future transportation patterns;</w:t>
      </w:r>
      <w:r>
        <w:rPr>
          <w:rFonts w:ascii="Times New Roman" w:hAnsi="Times New Roman" w:cs="Times New Roman"/>
          <w:sz w:val="24"/>
          <w:szCs w:val="24"/>
        </w:rPr>
        <w:t xml:space="preserve"> </w:t>
      </w:r>
      <w:r w:rsidRPr="00B23BB5">
        <w:rPr>
          <w:rFonts w:ascii="Times New Roman" w:hAnsi="Times New Roman" w:cs="Times New Roman"/>
          <w:sz w:val="24"/>
          <w:szCs w:val="24"/>
        </w:rPr>
        <w:t>(4) compatibility with existing and proposed development; (5) the recommendations of the Planning Commission and the Board of Municipal and Zoning Appeals; and (6) the relationship of the proposed amendment to the City’s plan.  Md. Land Use Code Ann., §10-304(b)(1); see also, Baltimore City Code, Art. 32, §5-508(b)(2) (citing same factors with (v) being “the recommendations of the City agencies and</w:t>
      </w:r>
      <w:r>
        <w:rPr>
          <w:rFonts w:ascii="Times New Roman" w:hAnsi="Times New Roman" w:cs="Times New Roman"/>
          <w:sz w:val="24"/>
          <w:szCs w:val="24"/>
        </w:rPr>
        <w:t xml:space="preserve"> </w:t>
      </w:r>
      <w:r w:rsidRPr="00B23BB5">
        <w:rPr>
          <w:rFonts w:ascii="Times New Roman" w:hAnsi="Times New Roman" w:cs="Times New Roman"/>
          <w:sz w:val="24"/>
          <w:szCs w:val="24"/>
        </w:rPr>
        <w:t xml:space="preserve">officials,” and (vi) being “the proposed amendment’s consistency with the City’s Comprehensive Master Plan.”).  </w:t>
      </w:r>
    </w:p>
    <w:p w14:paraId="22910DE5" w14:textId="65EE91E6" w:rsidR="00BB52EF" w:rsidRDefault="00922B5F" w:rsidP="00B23BB5">
      <w:pPr>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City </w:t>
      </w:r>
      <w:r w:rsidR="00B23BB5" w:rsidRPr="00B23BB5">
        <w:rPr>
          <w:rFonts w:ascii="Times New Roman" w:hAnsi="Times New Roman" w:cs="Times New Roman"/>
          <w:sz w:val="24"/>
          <w:szCs w:val="24"/>
        </w:rPr>
        <w:t xml:space="preserve">Council </w:t>
      </w:r>
      <w:r>
        <w:rPr>
          <w:rFonts w:ascii="Times New Roman" w:hAnsi="Times New Roman" w:cs="Times New Roman"/>
          <w:sz w:val="24"/>
          <w:szCs w:val="24"/>
        </w:rPr>
        <w:t xml:space="preserve">is required to </w:t>
      </w:r>
      <w:r w:rsidR="00B23BB5" w:rsidRPr="00B23BB5">
        <w:rPr>
          <w:rFonts w:ascii="Times New Roman" w:hAnsi="Times New Roman" w:cs="Times New Roman"/>
          <w:sz w:val="24"/>
          <w:szCs w:val="24"/>
        </w:rPr>
        <w:t>consider:</w:t>
      </w:r>
      <w:r w:rsidR="00B23BB5">
        <w:rPr>
          <w:rFonts w:ascii="Times New Roman" w:hAnsi="Times New Roman" w:cs="Times New Roman"/>
          <w:sz w:val="24"/>
          <w:szCs w:val="24"/>
        </w:rPr>
        <w:t xml:space="preserve"> </w:t>
      </w:r>
      <w:r w:rsidR="00B23BB5" w:rsidRPr="00B23BB5">
        <w:rPr>
          <w:rFonts w:ascii="Times New Roman" w:hAnsi="Times New Roman" w:cs="Times New Roman"/>
          <w:sz w:val="24"/>
          <w:szCs w:val="24"/>
        </w:rPr>
        <w:t>(</w:t>
      </w:r>
      <w:proofErr w:type="spellStart"/>
      <w:r w:rsidR="00B23BB5" w:rsidRPr="00B23BB5">
        <w:rPr>
          <w:rFonts w:ascii="Times New Roman" w:hAnsi="Times New Roman" w:cs="Times New Roman"/>
          <w:sz w:val="24"/>
          <w:szCs w:val="24"/>
        </w:rPr>
        <w:t>i</w:t>
      </w:r>
      <w:proofErr w:type="spellEnd"/>
      <w:r w:rsidR="00B23BB5" w:rsidRPr="00B23BB5">
        <w:rPr>
          <w:rFonts w:ascii="Times New Roman" w:hAnsi="Times New Roman" w:cs="Times New Roman"/>
          <w:sz w:val="24"/>
          <w:szCs w:val="24"/>
        </w:rPr>
        <w:t>) existing uses of property within the general area of the property in question; (ii) the zoning classification of other property within the general area of the property in question; (iii) the suitability of the property in question for the uses permitted under its existing zoning classification; and (iv) the trend of development, if any, in the general area of the property in question, including changes, if any, that have taken place since the property in question was placed in its present zoning classification</w:t>
      </w:r>
      <w:r w:rsidR="00B23BB5">
        <w:rPr>
          <w:rFonts w:ascii="Times New Roman" w:hAnsi="Times New Roman" w:cs="Times New Roman"/>
          <w:sz w:val="24"/>
          <w:szCs w:val="24"/>
        </w:rPr>
        <w:t xml:space="preserve">. </w:t>
      </w:r>
      <w:r w:rsidR="00B23BB5" w:rsidRPr="00B23BB5">
        <w:rPr>
          <w:rFonts w:ascii="Times New Roman" w:hAnsi="Times New Roman" w:cs="Times New Roman"/>
          <w:sz w:val="24"/>
          <w:szCs w:val="24"/>
        </w:rPr>
        <w:t>Baltimore City Code, Art. 32, §5-508(b)(3).</w:t>
      </w:r>
    </w:p>
    <w:p w14:paraId="5D852B12" w14:textId="5D88C1BD" w:rsidR="00DB13F3" w:rsidRDefault="00B23BB5" w:rsidP="00B23BB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Planning Department reviewed these standards in its report dated</w:t>
      </w:r>
      <w:r w:rsidR="00DB13F3">
        <w:rPr>
          <w:rFonts w:ascii="Times New Roman" w:hAnsi="Times New Roman" w:cs="Times New Roman"/>
          <w:sz w:val="24"/>
          <w:szCs w:val="24"/>
        </w:rPr>
        <w:t xml:space="preserve"> July 8</w:t>
      </w:r>
      <w:r>
        <w:rPr>
          <w:rFonts w:ascii="Times New Roman" w:hAnsi="Times New Roman" w:cs="Times New Roman"/>
          <w:sz w:val="24"/>
          <w:szCs w:val="24"/>
        </w:rPr>
        <w:t xml:space="preserve">, 2020  (“Report”). It concluded that </w:t>
      </w:r>
      <w:r w:rsidR="00DB13F3">
        <w:rPr>
          <w:rFonts w:ascii="Times New Roman" w:hAnsi="Times New Roman" w:cs="Times New Roman"/>
          <w:sz w:val="24"/>
          <w:szCs w:val="24"/>
        </w:rPr>
        <w:t>a</w:t>
      </w:r>
      <w:r>
        <w:rPr>
          <w:rFonts w:ascii="Times New Roman" w:hAnsi="Times New Roman" w:cs="Times New Roman"/>
          <w:sz w:val="24"/>
          <w:szCs w:val="24"/>
        </w:rPr>
        <w:t xml:space="preserve"> mistake </w:t>
      </w:r>
      <w:r w:rsidR="00DB13F3">
        <w:rPr>
          <w:rFonts w:ascii="Times New Roman" w:hAnsi="Times New Roman" w:cs="Times New Roman"/>
          <w:sz w:val="24"/>
          <w:szCs w:val="24"/>
        </w:rPr>
        <w:t xml:space="preserve">occurred in rezoning the property to its current zoning designation, the </w:t>
      </w:r>
      <w:r w:rsidR="00DB13F3" w:rsidRPr="00DB13F3">
        <w:rPr>
          <w:rFonts w:ascii="Times New Roman" w:hAnsi="Times New Roman" w:cs="Times New Roman"/>
          <w:sz w:val="24"/>
          <w:szCs w:val="24"/>
        </w:rPr>
        <w:t>I-1 Zoning District</w:t>
      </w:r>
      <w:r w:rsidR="00DB13F3">
        <w:rPr>
          <w:rFonts w:ascii="Times New Roman" w:hAnsi="Times New Roman" w:cs="Times New Roman"/>
          <w:sz w:val="24"/>
          <w:szCs w:val="24"/>
        </w:rPr>
        <w:t xml:space="preserve">.  </w:t>
      </w:r>
      <w:r w:rsidR="00670BDF">
        <w:rPr>
          <w:rFonts w:ascii="Times New Roman" w:hAnsi="Times New Roman" w:cs="Times New Roman"/>
          <w:sz w:val="24"/>
          <w:szCs w:val="24"/>
        </w:rPr>
        <w:t>T</w:t>
      </w:r>
      <w:r w:rsidR="00DB13F3">
        <w:rPr>
          <w:rFonts w:ascii="Times New Roman" w:hAnsi="Times New Roman" w:cs="Times New Roman"/>
          <w:sz w:val="24"/>
          <w:szCs w:val="24"/>
        </w:rPr>
        <w:t xml:space="preserve">he Report </w:t>
      </w:r>
      <w:r w:rsidR="00670BDF">
        <w:rPr>
          <w:rFonts w:ascii="Times New Roman" w:hAnsi="Times New Roman" w:cs="Times New Roman"/>
          <w:sz w:val="24"/>
          <w:szCs w:val="24"/>
        </w:rPr>
        <w:t xml:space="preserve">notes, however, </w:t>
      </w:r>
      <w:r w:rsidR="00DB13F3">
        <w:rPr>
          <w:rFonts w:ascii="Times New Roman" w:hAnsi="Times New Roman" w:cs="Times New Roman"/>
          <w:sz w:val="24"/>
          <w:szCs w:val="24"/>
        </w:rPr>
        <w:t>that the appropriate zoning designation  supported by facts is the C</w:t>
      </w:r>
      <w:r w:rsidR="00AA683E">
        <w:rPr>
          <w:rFonts w:ascii="Times New Roman" w:hAnsi="Times New Roman" w:cs="Times New Roman"/>
          <w:sz w:val="24"/>
          <w:szCs w:val="24"/>
        </w:rPr>
        <w:t>-</w:t>
      </w:r>
      <w:r w:rsidR="00DB13F3">
        <w:rPr>
          <w:rFonts w:ascii="Times New Roman" w:hAnsi="Times New Roman" w:cs="Times New Roman"/>
          <w:sz w:val="24"/>
          <w:szCs w:val="24"/>
        </w:rPr>
        <w:t>4 Zoning district, not the IMU-2 provided in Council Bill 20-53</w:t>
      </w:r>
      <w:r w:rsidR="00AA683E">
        <w:rPr>
          <w:rFonts w:ascii="Times New Roman" w:hAnsi="Times New Roman" w:cs="Times New Roman"/>
          <w:sz w:val="24"/>
          <w:szCs w:val="24"/>
        </w:rPr>
        <w:t>9</w:t>
      </w:r>
      <w:r w:rsidR="00DB13F3">
        <w:rPr>
          <w:rFonts w:ascii="Times New Roman" w:hAnsi="Times New Roman" w:cs="Times New Roman"/>
          <w:sz w:val="24"/>
          <w:szCs w:val="24"/>
        </w:rPr>
        <w:t xml:space="preserve">.  For this reason, the </w:t>
      </w:r>
      <w:r w:rsidR="00AA683E">
        <w:rPr>
          <w:rFonts w:ascii="Times New Roman" w:hAnsi="Times New Roman" w:cs="Times New Roman"/>
          <w:sz w:val="24"/>
          <w:szCs w:val="24"/>
        </w:rPr>
        <w:t xml:space="preserve">Planning Commission and the Planning Department recommend amending the bill to provide for the C-4 Zoning District. </w:t>
      </w:r>
    </w:p>
    <w:p w14:paraId="1250D2D5" w14:textId="4E0F1A29" w:rsidR="00AA683E" w:rsidRDefault="00AA683E" w:rsidP="00B23BB5">
      <w:pPr>
        <w:ind w:firstLine="720"/>
        <w:jc w:val="both"/>
        <w:rPr>
          <w:rFonts w:ascii="Times New Roman" w:hAnsi="Times New Roman" w:cs="Times New Roman"/>
          <w:sz w:val="24"/>
          <w:szCs w:val="24"/>
        </w:rPr>
      </w:pPr>
      <w:r>
        <w:rPr>
          <w:rFonts w:ascii="Times New Roman" w:hAnsi="Times New Roman" w:cs="Times New Roman"/>
          <w:sz w:val="24"/>
          <w:szCs w:val="24"/>
        </w:rPr>
        <w:t>The Law Department concludes that if the City Council agrees with the recommendations and facts presented in the Report, the Law Department is prepared to approve the bill for form and legal sufficiency.</w:t>
      </w:r>
      <w:r w:rsidR="00670BDF">
        <w:rPr>
          <w:rFonts w:ascii="Times New Roman" w:hAnsi="Times New Roman" w:cs="Times New Roman"/>
          <w:sz w:val="24"/>
          <w:szCs w:val="24"/>
        </w:rPr>
        <w:t xml:space="preserve"> </w:t>
      </w:r>
    </w:p>
    <w:p w14:paraId="650AF972" w14:textId="71106526" w:rsidR="006E7D4F" w:rsidRDefault="006E7D4F"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56AECCB0"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Sincerely,</w:t>
      </w:r>
    </w:p>
    <w:p w14:paraId="0AEF6D3C" w14:textId="77777777" w:rsid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E3E3C7D" w14:textId="77777777" w:rsidR="005D5EEA" w:rsidRDefault="00D86A77"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noProof/>
        </w:rPr>
        <w:drawing>
          <wp:inline distT="0" distB="0" distL="0" distR="0" wp14:anchorId="62B5DF57" wp14:editId="7645F6DA">
            <wp:extent cx="2314286" cy="457143"/>
            <wp:effectExtent l="0" t="0" r="0" b="635"/>
            <wp:docPr id="5"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6"/>
                    <a:stretch>
                      <a:fillRect/>
                    </a:stretch>
                  </pic:blipFill>
                  <pic:spPr>
                    <a:xfrm>
                      <a:off x="0" y="0"/>
                      <a:ext cx="2314286" cy="457143"/>
                    </a:xfrm>
                    <a:prstGeom prst="rect">
                      <a:avLst/>
                    </a:prstGeom>
                  </pic:spPr>
                </pic:pic>
              </a:graphicData>
            </a:graphic>
          </wp:inline>
        </w:drawing>
      </w:r>
    </w:p>
    <w:p w14:paraId="17306FF5"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Victor K. </w:t>
      </w:r>
      <w:proofErr w:type="spellStart"/>
      <w:r w:rsidRPr="005D5EEA">
        <w:rPr>
          <w:rFonts w:ascii="Times New Roman" w:eastAsia="Times New Roman" w:hAnsi="Times New Roman" w:cs="Times New Roman"/>
          <w:sz w:val="24"/>
          <w:szCs w:val="24"/>
        </w:rPr>
        <w:t>Tervala</w:t>
      </w:r>
      <w:proofErr w:type="spellEnd"/>
    </w:p>
    <w:p w14:paraId="3843B9A9"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Chief Solicitor</w:t>
      </w:r>
    </w:p>
    <w:p w14:paraId="19364FF4"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53A60906" w14:textId="77777777" w:rsidR="005D5EEA" w:rsidRDefault="005D5EEA" w:rsidP="005D5EEA">
      <w:pPr>
        <w:tabs>
          <w:tab w:val="left" w:pos="720"/>
        </w:tabs>
        <w:spacing w:after="0" w:line="240" w:lineRule="auto"/>
        <w:jc w:val="both"/>
        <w:rPr>
          <w:rFonts w:ascii="Times New Roman" w:eastAsia="Times New Roman" w:hAnsi="Times New Roman" w:cs="Times New Roman"/>
          <w:sz w:val="24"/>
          <w:szCs w:val="24"/>
        </w:rPr>
      </w:pPr>
    </w:p>
    <w:p w14:paraId="23B50CAA"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cc:  </w:t>
      </w:r>
      <w:r w:rsidRPr="005D5EEA">
        <w:rPr>
          <w:rFonts w:ascii="Times New Roman" w:eastAsia="Times New Roman" w:hAnsi="Times New Roman" w:cs="Times New Roman"/>
          <w:sz w:val="24"/>
          <w:szCs w:val="24"/>
        </w:rPr>
        <w:tab/>
        <w:t xml:space="preserve">Dana Moore, </w:t>
      </w:r>
      <w:r w:rsidR="00CC7C10">
        <w:rPr>
          <w:rFonts w:ascii="Times New Roman" w:eastAsia="Times New Roman" w:hAnsi="Times New Roman" w:cs="Times New Roman"/>
          <w:sz w:val="24"/>
          <w:szCs w:val="24"/>
        </w:rPr>
        <w:t>Acting City</w:t>
      </w:r>
      <w:r w:rsidRPr="005D5EEA">
        <w:rPr>
          <w:rFonts w:ascii="Times New Roman" w:eastAsia="Times New Roman" w:hAnsi="Times New Roman" w:cs="Times New Roman"/>
          <w:sz w:val="24"/>
          <w:szCs w:val="24"/>
        </w:rPr>
        <w:t xml:space="preserve"> Solicitor</w:t>
      </w:r>
    </w:p>
    <w:p w14:paraId="73B3954B"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Matt Stegman, Mayor’s Legislative Liaison</w:t>
      </w:r>
    </w:p>
    <w:p w14:paraId="4B735FA6"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w:t>
      </w:r>
      <w:proofErr w:type="spellStart"/>
      <w:r w:rsidRPr="005D5EEA">
        <w:rPr>
          <w:rFonts w:ascii="Times New Roman" w:eastAsia="Times New Roman" w:hAnsi="Times New Roman" w:cs="Times New Roman"/>
          <w:sz w:val="24"/>
          <w:szCs w:val="24"/>
        </w:rPr>
        <w:t>Caylin</w:t>
      </w:r>
      <w:proofErr w:type="spellEnd"/>
      <w:r w:rsidRPr="005D5EEA">
        <w:rPr>
          <w:rFonts w:ascii="Times New Roman" w:eastAsia="Times New Roman" w:hAnsi="Times New Roman" w:cs="Times New Roman"/>
          <w:sz w:val="24"/>
          <w:szCs w:val="24"/>
        </w:rPr>
        <w:t xml:space="preserve"> Young, President’s Legislative Director</w:t>
      </w:r>
      <w:r>
        <w:rPr>
          <w:rFonts w:ascii="Times New Roman" w:eastAsia="Times New Roman" w:hAnsi="Times New Roman" w:cs="Times New Roman"/>
          <w:sz w:val="24"/>
          <w:szCs w:val="24"/>
        </w:rPr>
        <w:tab/>
      </w:r>
    </w:p>
    <w:p w14:paraId="24293175"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5EEA">
        <w:rPr>
          <w:rFonts w:ascii="Times New Roman" w:eastAsia="Times New Roman" w:hAnsi="Times New Roman" w:cs="Times New Roman"/>
          <w:sz w:val="24"/>
          <w:szCs w:val="24"/>
        </w:rPr>
        <w:t>Elena DiPietro, Chief Solicitor, General Counsel Division</w:t>
      </w:r>
    </w:p>
    <w:p w14:paraId="5B5B1A49"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 xml:space="preserve">Hilary </w:t>
      </w:r>
      <w:proofErr w:type="spellStart"/>
      <w:r w:rsidRPr="005D5EEA">
        <w:rPr>
          <w:rFonts w:ascii="Times New Roman" w:eastAsia="Times New Roman" w:hAnsi="Times New Roman" w:cs="Times New Roman"/>
          <w:sz w:val="24"/>
          <w:szCs w:val="24"/>
        </w:rPr>
        <w:t>Ruley</w:t>
      </w:r>
      <w:proofErr w:type="spellEnd"/>
      <w:r w:rsidRPr="005D5EEA">
        <w:rPr>
          <w:rFonts w:ascii="Times New Roman" w:eastAsia="Times New Roman" w:hAnsi="Times New Roman" w:cs="Times New Roman"/>
          <w:sz w:val="24"/>
          <w:szCs w:val="24"/>
        </w:rPr>
        <w:t>, Chief Solicitor</w:t>
      </w:r>
    </w:p>
    <w:p w14:paraId="61BE75B1" w14:textId="0083C755" w:rsidR="00EE57C7" w:rsidRDefault="005D5EEA" w:rsidP="000A43E6">
      <w:pPr>
        <w:tabs>
          <w:tab w:val="left" w:pos="720"/>
        </w:tabs>
        <w:spacing w:after="0" w:line="240" w:lineRule="auto"/>
        <w:jc w:val="both"/>
      </w:pPr>
      <w:r w:rsidRPr="005D5EEA">
        <w:rPr>
          <w:rFonts w:ascii="Times New Roman" w:eastAsia="Times New Roman" w:hAnsi="Times New Roman" w:cs="Times New Roman"/>
          <w:sz w:val="24"/>
          <w:szCs w:val="24"/>
        </w:rPr>
        <w:tab/>
        <w:t>Ashlea Brown, Assistant Solicitor</w:t>
      </w:r>
    </w:p>
    <w:sectPr w:rsidR="00EE57C7" w:rsidSect="00427DBC">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FB26" w14:textId="77777777" w:rsidR="00DC0A46" w:rsidRDefault="00DC0A46" w:rsidP="00DC0A46">
      <w:pPr>
        <w:spacing w:after="0" w:line="240" w:lineRule="auto"/>
      </w:pPr>
      <w:r>
        <w:separator/>
      </w:r>
    </w:p>
  </w:endnote>
  <w:endnote w:type="continuationSeparator" w:id="0">
    <w:p w14:paraId="20394B32" w14:textId="77777777" w:rsidR="00DC0A46" w:rsidRDefault="00DC0A46" w:rsidP="00D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867804"/>
      <w:docPartObj>
        <w:docPartGallery w:val="Page Numbers (Bottom of Page)"/>
        <w:docPartUnique/>
      </w:docPartObj>
    </w:sdtPr>
    <w:sdtEndPr>
      <w:rPr>
        <w:noProof/>
      </w:rPr>
    </w:sdtEndPr>
    <w:sdtContent>
      <w:p w14:paraId="54B281FA" w14:textId="00913174" w:rsidR="00427DBC" w:rsidRDefault="00427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220C1" w14:textId="77777777" w:rsidR="00DC0A46" w:rsidRDefault="00DC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F8C3" w14:textId="77777777" w:rsidR="00DC0A46" w:rsidRDefault="00DC0A46" w:rsidP="00DC0A46">
      <w:pPr>
        <w:spacing w:after="0" w:line="240" w:lineRule="auto"/>
      </w:pPr>
      <w:r>
        <w:separator/>
      </w:r>
    </w:p>
  </w:footnote>
  <w:footnote w:type="continuationSeparator" w:id="0">
    <w:p w14:paraId="5BD5482D" w14:textId="77777777" w:rsidR="00DC0A46" w:rsidRDefault="00DC0A46" w:rsidP="00DC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C0A46" w:rsidRPr="00115739" w14:paraId="0FE8B3D1" w14:textId="77777777" w:rsidTr="00A07A3C">
      <w:trPr>
        <w:trHeight w:val="1604"/>
        <w:jc w:val="center"/>
      </w:trPr>
      <w:tc>
        <w:tcPr>
          <w:tcW w:w="3150" w:type="dxa"/>
          <w:tcBorders>
            <w:bottom w:val="single" w:sz="4" w:space="0" w:color="FFC000"/>
          </w:tcBorders>
          <w:vAlign w:val="center"/>
        </w:tcPr>
        <w:p w14:paraId="6DBBA462" w14:textId="77777777" w:rsidR="00DC0A46" w:rsidRDefault="00DC0A46" w:rsidP="00DC0A4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CITY OF BALTIMORE</w:t>
          </w:r>
        </w:p>
        <w:p w14:paraId="529E23E2" w14:textId="77777777" w:rsidR="00DC0A46" w:rsidRDefault="00DC0A46" w:rsidP="00DC0A46">
          <w:pPr>
            <w:spacing w:after="0"/>
            <w:jc w:val="center"/>
            <w:rPr>
              <w:rFonts w:ascii="Garamond" w:hAnsi="Garamond"/>
              <w:b/>
              <w:iCs/>
              <w:smallCaps/>
              <w:color w:val="404040" w:themeColor="text1" w:themeTint="BF"/>
              <w:sz w:val="24"/>
              <w:szCs w:val="24"/>
            </w:rPr>
          </w:pPr>
        </w:p>
        <w:p w14:paraId="17D37EAE" w14:textId="77777777" w:rsidR="00DC0A46" w:rsidRPr="005E0E1E" w:rsidRDefault="00DC0A46" w:rsidP="00DC0A46">
          <w:pPr>
            <w:spacing w:after="0"/>
            <w:jc w:val="center"/>
            <w:rPr>
              <w:rFonts w:ascii="Garamond" w:hAnsi="Garamond"/>
              <w:b/>
              <w:iCs/>
              <w:color w:val="404040" w:themeColor="text1" w:themeTint="BF"/>
              <w:sz w:val="24"/>
              <w:szCs w:val="24"/>
            </w:rPr>
          </w:pPr>
          <w:proofErr w:type="spellStart"/>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ernard</w:t>
          </w:r>
          <w:proofErr w:type="spellEnd"/>
          <w:r>
            <w:rPr>
              <w:rFonts w:ascii="Garamond" w:hAnsi="Garamond"/>
              <w:b/>
              <w:iCs/>
              <w:smallCaps/>
              <w:color w:val="404040" w:themeColor="text1" w:themeTint="BF"/>
              <w:sz w:val="24"/>
              <w:szCs w:val="24"/>
            </w:rPr>
            <w:t xml:space="preserve">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szCs w:val="24"/>
            </w:rPr>
            <w:t>oung</w:t>
          </w:r>
        </w:p>
        <w:p w14:paraId="27AF8A11" w14:textId="77777777" w:rsidR="00DC0A46" w:rsidRPr="00115739" w:rsidRDefault="00DC0A46" w:rsidP="00DC0A4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14507224"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6D3778E3"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205AFEC8" wp14:editId="5DED03D0">
                <wp:extent cx="825910" cy="9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042583F2" w14:textId="77777777" w:rsidR="00DC0A46" w:rsidRDefault="00DC0A46" w:rsidP="00DC0A46">
          <w:pPr>
            <w:spacing w:after="0"/>
            <w:jc w:val="center"/>
            <w:rPr>
              <w:rFonts w:ascii="Garamond" w:hAnsi="Garamond"/>
              <w:b/>
              <w:iCs/>
              <w:smallCaps/>
              <w:color w:val="404040" w:themeColor="text1" w:themeTint="BF"/>
              <w:szCs w:val="16"/>
            </w:rPr>
          </w:pPr>
        </w:p>
        <w:p w14:paraId="2E43888C" w14:textId="77777777" w:rsidR="00DC0A46" w:rsidRDefault="00DC0A46" w:rsidP="00DC0A46">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6FDA2E16" w14:textId="77777777" w:rsidR="00DC0A46" w:rsidRPr="005E0E1E" w:rsidRDefault="00DC0A46" w:rsidP="00DC0A46">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14:paraId="2026E9EC" w14:textId="77777777" w:rsidR="00DC0A46" w:rsidRPr="00071D73" w:rsidRDefault="00DC0A46" w:rsidP="00DC0A46">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14:paraId="6D470B6D" w14:textId="77777777" w:rsidR="00DC0A46" w:rsidRDefault="00DC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6"/>
    <w:rsid w:val="000A2A43"/>
    <w:rsid w:val="000A43E6"/>
    <w:rsid w:val="000D5739"/>
    <w:rsid w:val="0029476C"/>
    <w:rsid w:val="002D0B85"/>
    <w:rsid w:val="00300710"/>
    <w:rsid w:val="00427DBC"/>
    <w:rsid w:val="00504376"/>
    <w:rsid w:val="005D5EEA"/>
    <w:rsid w:val="00604D8A"/>
    <w:rsid w:val="00670BDF"/>
    <w:rsid w:val="006E7D4F"/>
    <w:rsid w:val="0071624A"/>
    <w:rsid w:val="007713E7"/>
    <w:rsid w:val="008F3F10"/>
    <w:rsid w:val="00907F92"/>
    <w:rsid w:val="00922B5F"/>
    <w:rsid w:val="00AA683E"/>
    <w:rsid w:val="00B23BB5"/>
    <w:rsid w:val="00BB52EF"/>
    <w:rsid w:val="00C53FBB"/>
    <w:rsid w:val="00CC7C10"/>
    <w:rsid w:val="00D86A77"/>
    <w:rsid w:val="00DB13F3"/>
    <w:rsid w:val="00DC0A46"/>
    <w:rsid w:val="00E772F1"/>
    <w:rsid w:val="00EE57C7"/>
    <w:rsid w:val="00EF570C"/>
    <w:rsid w:val="00F40871"/>
    <w:rsid w:val="00FB2BA4"/>
    <w:rsid w:val="00FD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61C3"/>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V853291@outlook.com</cp:lastModifiedBy>
  <cp:revision>3</cp:revision>
  <dcterms:created xsi:type="dcterms:W3CDTF">2020-08-10T15:59:00Z</dcterms:created>
  <dcterms:modified xsi:type="dcterms:W3CDTF">2020-08-11T13:48:00Z</dcterms:modified>
</cp:coreProperties>
</file>