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3FEF" w14:textId="77777777" w:rsidR="00F47207" w:rsidRPr="00F47207" w:rsidRDefault="00F47207" w:rsidP="00F47207">
      <w:pPr>
        <w:tabs>
          <w:tab w:val="center" w:pos="4680"/>
        </w:tabs>
        <w:spacing w:after="0" w:line="240" w:lineRule="auto"/>
        <w:jc w:val="center"/>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October 28, 2020</w:t>
      </w:r>
    </w:p>
    <w:p w14:paraId="124DA7F7" w14:textId="77777777" w:rsidR="00F47207" w:rsidRPr="00F47207" w:rsidRDefault="00F47207" w:rsidP="00F47207">
      <w:pPr>
        <w:spacing w:after="0" w:line="240" w:lineRule="auto"/>
        <w:rPr>
          <w:rFonts w:ascii="Times New Roman" w:eastAsia="Times New Roman" w:hAnsi="Times New Roman" w:cs="Times New Roman"/>
          <w:sz w:val="24"/>
          <w:szCs w:val="24"/>
        </w:rPr>
      </w:pPr>
    </w:p>
    <w:p w14:paraId="48317730"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The Honorable President and Members</w:t>
      </w:r>
    </w:p>
    <w:p w14:paraId="2CB638B7"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of the Baltimore City Council</w:t>
      </w:r>
    </w:p>
    <w:p w14:paraId="65AA9ADF"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Attn: Natawna B. Austin, Executive Secretary</w:t>
      </w:r>
    </w:p>
    <w:p w14:paraId="5D044769"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Room 409, City Hall</w:t>
      </w:r>
    </w:p>
    <w:p w14:paraId="08345E4A"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100 N. Holliday Street</w:t>
      </w:r>
    </w:p>
    <w:p w14:paraId="5C11F9E0"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Baltimore, Maryland 21202</w:t>
      </w:r>
    </w:p>
    <w:p w14:paraId="38ABDAAC" w14:textId="77777777" w:rsidR="00F47207" w:rsidRDefault="00F47207" w:rsidP="00F47207">
      <w:pPr>
        <w:spacing w:after="0" w:line="240" w:lineRule="auto"/>
        <w:rPr>
          <w:rFonts w:ascii="Times New Roman" w:eastAsia="Times New Roman" w:hAnsi="Times New Roman" w:cs="Times New Roman"/>
          <w:sz w:val="24"/>
          <w:szCs w:val="24"/>
        </w:rPr>
      </w:pPr>
    </w:p>
    <w:p w14:paraId="33F0B939" w14:textId="77777777" w:rsidR="0088070E" w:rsidRPr="00F47207" w:rsidRDefault="0088070E" w:rsidP="00F472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REVISED</w:t>
      </w:r>
    </w:p>
    <w:p w14:paraId="34FE9726" w14:textId="77777777" w:rsidR="00F47207" w:rsidRPr="00F47207" w:rsidRDefault="00F47207" w:rsidP="00F47207">
      <w:pPr>
        <w:spacing w:after="0" w:line="240" w:lineRule="auto"/>
        <w:ind w:left="216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Re:</w:t>
      </w:r>
      <w:r w:rsidRPr="00F47207">
        <w:rPr>
          <w:rFonts w:ascii="Times New Roman" w:eastAsia="Times New Roman" w:hAnsi="Times New Roman" w:cs="Times New Roman"/>
          <w:sz w:val="24"/>
          <w:szCs w:val="24"/>
        </w:rPr>
        <w:tab/>
        <w:t>City Council Bill 20-0603- Retirement Saving Plan - Clarifications</w:t>
      </w:r>
    </w:p>
    <w:p w14:paraId="25F965AC" w14:textId="77777777" w:rsidR="00F47207" w:rsidRPr="00F47207" w:rsidRDefault="00F47207" w:rsidP="00F47207">
      <w:pPr>
        <w:spacing w:after="0" w:line="240" w:lineRule="auto"/>
        <w:ind w:left="2160" w:hanging="720"/>
        <w:jc w:val="both"/>
        <w:rPr>
          <w:rFonts w:ascii="Times New Roman" w:eastAsia="Times New Roman" w:hAnsi="Times New Roman" w:cs="Times New Roman"/>
          <w:sz w:val="24"/>
          <w:szCs w:val="24"/>
        </w:rPr>
      </w:pPr>
    </w:p>
    <w:p w14:paraId="6BBE3B4B"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Dear Madame President and City Council Members:</w:t>
      </w:r>
    </w:p>
    <w:p w14:paraId="7BF594D8" w14:textId="77777777" w:rsidR="00F47207" w:rsidRPr="00F47207" w:rsidRDefault="00F47207" w:rsidP="00F47207">
      <w:pPr>
        <w:spacing w:after="0" w:line="240" w:lineRule="auto"/>
        <w:rPr>
          <w:rFonts w:ascii="Times New Roman" w:eastAsia="Times New Roman" w:hAnsi="Times New Roman" w:cs="Times New Roman"/>
          <w:sz w:val="24"/>
          <w:szCs w:val="24"/>
        </w:rPr>
      </w:pPr>
    </w:p>
    <w:p w14:paraId="175C1231"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The Law Department has reviewed City Council Bill 20-0603 for form and legal sufficiency.  This bill clarifies several provisions of the ESP law in order to clarify and update </w:t>
      </w:r>
      <w:proofErr w:type="gramStart"/>
      <w:r w:rsidRPr="00F47207">
        <w:rPr>
          <w:rFonts w:ascii="Times New Roman" w:eastAsia="Times New Roman" w:hAnsi="Times New Roman" w:cs="Times New Roman"/>
          <w:sz w:val="24"/>
          <w:szCs w:val="24"/>
        </w:rPr>
        <w:t>to  sync</w:t>
      </w:r>
      <w:proofErr w:type="gramEnd"/>
      <w:r w:rsidRPr="00F47207">
        <w:rPr>
          <w:rFonts w:ascii="Times New Roman" w:eastAsia="Times New Roman" w:hAnsi="Times New Roman" w:cs="Times New Roman"/>
          <w:sz w:val="24"/>
          <w:szCs w:val="24"/>
        </w:rPr>
        <w:t xml:space="preserve"> with current practice.   </w:t>
      </w:r>
    </w:p>
    <w:p w14:paraId="42328EAF"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p>
    <w:p w14:paraId="2898A1D9"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The first set of changes is to the definitions. These are not substantive changes and will serve to conform</w:t>
      </w:r>
      <w:r w:rsidR="00DE3ACA">
        <w:rPr>
          <w:rFonts w:ascii="Times New Roman" w:eastAsia="Times New Roman" w:hAnsi="Times New Roman" w:cs="Times New Roman"/>
          <w:sz w:val="24"/>
          <w:szCs w:val="24"/>
        </w:rPr>
        <w:t xml:space="preserve"> the law</w:t>
      </w:r>
      <w:r w:rsidRPr="00F47207">
        <w:rPr>
          <w:rFonts w:ascii="Times New Roman" w:eastAsia="Times New Roman" w:hAnsi="Times New Roman" w:cs="Times New Roman"/>
          <w:sz w:val="24"/>
          <w:szCs w:val="24"/>
        </w:rPr>
        <w:t xml:space="preserve"> with current practice. Notably, the definition of employee was changed to include certain employees of the Enoch Pratt Free Library.  Library employees have been eligible for membership for whom retirement benefits through the City have historically been provided. The definition also clarifies that the employees to the BMA and the Walters are not eligible to become members of the City’s retirement systems.</w:t>
      </w:r>
    </w:p>
    <w:p w14:paraId="0285C63F"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p>
    <w:p w14:paraId="61130C24"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Several amendments pertain to the Board’s composition and operation. These amendments give the Board 13 members who all have voting privilege.  The Director of the ERS is no longer a voting member and President designated representatives from AFSCME, CUB and MAPS. The Mayor now has two appointee and the Council President has one appointment. </w:t>
      </w:r>
    </w:p>
    <w:p w14:paraId="32C5B632" w14:textId="77777777" w:rsidR="00F47207" w:rsidRPr="00F47207" w:rsidRDefault="00F47207" w:rsidP="00F47207">
      <w:pPr>
        <w:spacing w:after="0" w:line="240" w:lineRule="auto"/>
        <w:ind w:firstLine="720"/>
        <w:jc w:val="both"/>
        <w:rPr>
          <w:rFonts w:ascii="Times New Roman" w:eastAsia="Times New Roman" w:hAnsi="Times New Roman" w:cs="Times New Roman"/>
          <w:sz w:val="24"/>
          <w:szCs w:val="24"/>
        </w:rPr>
      </w:pPr>
    </w:p>
    <w:p w14:paraId="65EB62F8" w14:textId="77777777" w:rsidR="00F47207" w:rsidRDefault="00F47207" w:rsidP="00F47207">
      <w:pPr>
        <w:spacing w:after="0" w:line="240" w:lineRule="auto"/>
        <w:ind w:firstLine="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The Bill also changes the date for commencement of service </w:t>
      </w:r>
      <w:proofErr w:type="gramStart"/>
      <w:r w:rsidRPr="00F47207">
        <w:rPr>
          <w:rFonts w:ascii="Times New Roman" w:eastAsia="Times New Roman" w:hAnsi="Times New Roman" w:cs="Times New Roman"/>
          <w:sz w:val="24"/>
          <w:szCs w:val="24"/>
        </w:rPr>
        <w:t>in order for</w:t>
      </w:r>
      <w:proofErr w:type="gramEnd"/>
      <w:r w:rsidRPr="00F47207">
        <w:rPr>
          <w:rFonts w:ascii="Times New Roman" w:eastAsia="Times New Roman" w:hAnsi="Times New Roman" w:cs="Times New Roman"/>
          <w:sz w:val="24"/>
          <w:szCs w:val="24"/>
        </w:rPr>
        <w:t xml:space="preserve"> the employer and employee contributions to coincide. With respect to service-related requirements, the bill clarifies the definition and the application of previous service time and how transfers from other connected retirement systems will work. The bill also updates sections pertaining to contributions, employer compensation, rollovers and failure to designate a beneficiary.</w:t>
      </w:r>
    </w:p>
    <w:p w14:paraId="1240B6E3" w14:textId="77777777" w:rsidR="00DE3ACA" w:rsidRDefault="00DE3ACA" w:rsidP="00F47207">
      <w:pPr>
        <w:spacing w:after="0" w:line="240" w:lineRule="auto"/>
        <w:ind w:firstLine="720"/>
        <w:jc w:val="both"/>
        <w:rPr>
          <w:rFonts w:ascii="Times New Roman" w:eastAsia="Times New Roman" w:hAnsi="Times New Roman" w:cs="Times New Roman"/>
          <w:sz w:val="24"/>
          <w:szCs w:val="24"/>
        </w:rPr>
      </w:pPr>
    </w:p>
    <w:p w14:paraId="57B4E06E" w14:textId="77777777" w:rsidR="00DE3ACA" w:rsidRDefault="00DE3ACA" w:rsidP="00F4720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Law Department has no objections to the bill and approves the bill for form and legal sufficiency.</w:t>
      </w:r>
    </w:p>
    <w:p w14:paraId="5112BE1E" w14:textId="77777777" w:rsidR="00DE3ACA" w:rsidRDefault="00DE3ACA" w:rsidP="00F47207">
      <w:pPr>
        <w:spacing w:after="0" w:line="240" w:lineRule="auto"/>
        <w:ind w:firstLine="720"/>
        <w:jc w:val="both"/>
        <w:rPr>
          <w:rFonts w:ascii="Times New Roman" w:eastAsia="Times New Roman" w:hAnsi="Times New Roman" w:cs="Times New Roman"/>
          <w:sz w:val="24"/>
          <w:szCs w:val="24"/>
        </w:rPr>
      </w:pPr>
    </w:p>
    <w:p w14:paraId="57145CCA" w14:textId="77777777" w:rsidR="00DE3ACA" w:rsidRDefault="00DE3ACA" w:rsidP="00F47207">
      <w:pPr>
        <w:spacing w:after="0" w:line="240" w:lineRule="auto"/>
        <w:ind w:firstLine="720"/>
        <w:jc w:val="both"/>
        <w:rPr>
          <w:rFonts w:ascii="Times New Roman" w:eastAsia="Times New Roman" w:hAnsi="Times New Roman" w:cs="Times New Roman"/>
          <w:sz w:val="24"/>
          <w:szCs w:val="24"/>
        </w:rPr>
      </w:pPr>
    </w:p>
    <w:p w14:paraId="43388DB2" w14:textId="77777777" w:rsidR="00F47207" w:rsidRDefault="00F47207" w:rsidP="00F47207">
      <w:pPr>
        <w:spacing w:after="0" w:line="240" w:lineRule="auto"/>
        <w:ind w:firstLine="720"/>
        <w:jc w:val="both"/>
        <w:rPr>
          <w:rFonts w:ascii="Times New Roman" w:eastAsia="Times New Roman" w:hAnsi="Times New Roman" w:cs="Times New Roman"/>
          <w:sz w:val="24"/>
          <w:szCs w:val="24"/>
        </w:rPr>
      </w:pPr>
    </w:p>
    <w:p w14:paraId="6BA0B71C" w14:textId="77777777" w:rsidR="00F47207" w:rsidRDefault="00F47207" w:rsidP="00F47207">
      <w:pPr>
        <w:spacing w:after="0" w:line="240" w:lineRule="auto"/>
        <w:ind w:firstLine="720"/>
        <w:jc w:val="both"/>
        <w:rPr>
          <w:rFonts w:ascii="Times New Roman" w:eastAsia="Times New Roman" w:hAnsi="Times New Roman" w:cs="Times New Roman"/>
          <w:sz w:val="24"/>
          <w:szCs w:val="24"/>
        </w:rPr>
      </w:pPr>
    </w:p>
    <w:p w14:paraId="0F9D9806" w14:textId="77777777" w:rsidR="00F47207" w:rsidRPr="00F47207" w:rsidRDefault="00F47207" w:rsidP="00F47207">
      <w:pPr>
        <w:tabs>
          <w:tab w:val="left" w:pos="4860"/>
        </w:tabs>
        <w:spacing w:after="0" w:line="240" w:lineRule="auto"/>
        <w:ind w:left="3600"/>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Sincerely,</w:t>
      </w:r>
    </w:p>
    <w:p w14:paraId="2BDDD28E" w14:textId="77777777" w:rsidR="00F47207" w:rsidRPr="00F47207" w:rsidRDefault="00F47207" w:rsidP="00F47207">
      <w:pPr>
        <w:spacing w:after="0" w:line="240" w:lineRule="auto"/>
        <w:rPr>
          <w:rFonts w:ascii="Times New Roman" w:eastAsia="Times New Roman" w:hAnsi="Times New Roman" w:cs="Times New Roman"/>
          <w:sz w:val="24"/>
          <w:szCs w:val="24"/>
        </w:rPr>
      </w:pPr>
    </w:p>
    <w:p w14:paraId="77E36A26" w14:textId="77777777" w:rsidR="00F47207" w:rsidRPr="00F47207" w:rsidRDefault="0088070E" w:rsidP="00F47207">
      <w:pPr>
        <w:spacing w:after="0" w:line="240" w:lineRule="auto"/>
        <w:ind w:left="3600"/>
        <w:rPr>
          <w:rFonts w:ascii="Times New Roman" w:eastAsia="Times New Roman" w:hAnsi="Times New Roman" w:cs="Times New Roman"/>
          <w:sz w:val="24"/>
          <w:szCs w:val="24"/>
        </w:rPr>
      </w:pPr>
      <w:r>
        <w:rPr>
          <w:noProof/>
        </w:rPr>
        <w:drawing>
          <wp:inline distT="0" distB="0" distL="0" distR="0" wp14:anchorId="068FBCFB" wp14:editId="52349AB8">
            <wp:extent cx="14763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438150"/>
                    </a:xfrm>
                    <a:prstGeom prst="rect">
                      <a:avLst/>
                    </a:prstGeom>
                  </pic:spPr>
                </pic:pic>
              </a:graphicData>
            </a:graphic>
          </wp:inline>
        </w:drawing>
      </w:r>
    </w:p>
    <w:p w14:paraId="6A6C2877" w14:textId="77777777" w:rsidR="00F47207" w:rsidRPr="00F47207" w:rsidRDefault="00F47207" w:rsidP="00F47207">
      <w:pPr>
        <w:spacing w:after="0" w:line="240" w:lineRule="auto"/>
        <w:ind w:left="3600"/>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Elena R. DiPietro</w:t>
      </w:r>
    </w:p>
    <w:p w14:paraId="52595664" w14:textId="77777777" w:rsidR="00F47207" w:rsidRPr="00F47207" w:rsidRDefault="00F47207" w:rsidP="00F47207">
      <w:pPr>
        <w:spacing w:after="0" w:line="240" w:lineRule="auto"/>
        <w:ind w:left="3600"/>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Chief Solicitor</w:t>
      </w:r>
    </w:p>
    <w:p w14:paraId="48540927" w14:textId="77777777" w:rsidR="00F47207" w:rsidRPr="00F47207" w:rsidRDefault="00F47207" w:rsidP="00F47207">
      <w:pPr>
        <w:spacing w:after="0" w:line="240" w:lineRule="auto"/>
        <w:rPr>
          <w:rFonts w:ascii="Times New Roman" w:eastAsia="Times New Roman" w:hAnsi="Times New Roman" w:cs="Times New Roman"/>
          <w:sz w:val="24"/>
          <w:szCs w:val="24"/>
        </w:rPr>
      </w:pPr>
    </w:p>
    <w:p w14:paraId="5AEFFA4D" w14:textId="77777777" w:rsidR="00F47207" w:rsidRPr="00F47207" w:rsidRDefault="00F47207" w:rsidP="00F47207">
      <w:pPr>
        <w:spacing w:after="0" w:line="240" w:lineRule="auto"/>
        <w:rPr>
          <w:rFonts w:ascii="Times New Roman" w:eastAsia="Times New Roman" w:hAnsi="Times New Roman" w:cs="Times New Roman"/>
          <w:sz w:val="24"/>
          <w:szCs w:val="24"/>
        </w:rPr>
      </w:pPr>
    </w:p>
    <w:p w14:paraId="436253B5" w14:textId="77777777" w:rsidR="00F47207" w:rsidRPr="00F47207" w:rsidRDefault="00F47207" w:rsidP="00F47207">
      <w:pPr>
        <w:spacing w:after="0" w:line="240" w:lineRule="auto"/>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cc:  Dana Moore, City Solicitor</w:t>
      </w:r>
    </w:p>
    <w:p w14:paraId="2E322AA2" w14:textId="77777777" w:rsidR="00F47207" w:rsidRPr="00F47207" w:rsidRDefault="00F47207" w:rsidP="00F47207">
      <w:pPr>
        <w:spacing w:after="0" w:line="240" w:lineRule="auto"/>
        <w:ind w:left="72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Matthew Stegman, Mayor’s Office of Government Relations</w:t>
      </w:r>
    </w:p>
    <w:p w14:paraId="559A678F" w14:textId="77777777" w:rsidR="00F47207" w:rsidRPr="00F47207" w:rsidRDefault="00F47207" w:rsidP="00F47207">
      <w:pPr>
        <w:spacing w:after="0" w:line="240" w:lineRule="auto"/>
        <w:ind w:left="72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Caylin Young, President’s Legislative Director            </w:t>
      </w:r>
    </w:p>
    <w:p w14:paraId="1F83C992" w14:textId="77777777" w:rsidR="00F47207" w:rsidRPr="00F47207" w:rsidRDefault="00F47207" w:rsidP="00F47207">
      <w:pPr>
        <w:spacing w:after="0" w:line="240" w:lineRule="auto"/>
        <w:ind w:left="72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Dominic McAlily         </w:t>
      </w:r>
    </w:p>
    <w:p w14:paraId="1DD899BE" w14:textId="77777777" w:rsidR="00F47207" w:rsidRPr="00F47207" w:rsidRDefault="00F47207" w:rsidP="00F47207">
      <w:pPr>
        <w:spacing w:after="0" w:line="240" w:lineRule="auto"/>
        <w:ind w:left="72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Nina Themelis, MOGR</w:t>
      </w:r>
    </w:p>
    <w:p w14:paraId="198ECE3D" w14:textId="77777777" w:rsidR="00F47207" w:rsidRPr="00F47207" w:rsidRDefault="00F47207" w:rsidP="00F47207">
      <w:pPr>
        <w:spacing w:after="0" w:line="240" w:lineRule="auto"/>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Hilary Ruley, Chief Solicitor</w:t>
      </w:r>
    </w:p>
    <w:p w14:paraId="168AC730" w14:textId="77777777" w:rsidR="00F47207" w:rsidRPr="00F47207" w:rsidRDefault="00F47207" w:rsidP="00F47207">
      <w:pPr>
        <w:spacing w:after="0" w:line="240" w:lineRule="auto"/>
        <w:ind w:left="720" w:hanging="720"/>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Victor Tervala, Chief Solicitor</w:t>
      </w:r>
    </w:p>
    <w:p w14:paraId="65084BC9" w14:textId="77777777" w:rsidR="00F47207" w:rsidRPr="00F47207" w:rsidRDefault="00F47207" w:rsidP="00F47207">
      <w:pPr>
        <w:spacing w:after="0" w:line="240" w:lineRule="auto"/>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Ashlea Brown, Assistant Solicitor</w:t>
      </w:r>
    </w:p>
    <w:p w14:paraId="0A504593" w14:textId="77777777" w:rsidR="00F47207" w:rsidRPr="00F47207" w:rsidRDefault="00F47207" w:rsidP="00F47207">
      <w:pPr>
        <w:spacing w:after="0" w:line="240" w:lineRule="auto"/>
        <w:jc w:val="both"/>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 xml:space="preserve">      Avery Aisenstark</w:t>
      </w:r>
    </w:p>
    <w:p w14:paraId="4489CCED" w14:textId="77777777" w:rsidR="00F47207" w:rsidRPr="00F47207" w:rsidRDefault="00F47207" w:rsidP="00F47207">
      <w:pPr>
        <w:spacing w:after="0" w:line="240" w:lineRule="auto"/>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ab/>
      </w:r>
    </w:p>
    <w:p w14:paraId="75878699" w14:textId="77777777" w:rsidR="00F47207" w:rsidRPr="00F47207" w:rsidRDefault="00F47207" w:rsidP="00F47207">
      <w:pPr>
        <w:spacing w:after="0" w:line="240" w:lineRule="auto"/>
        <w:ind w:left="720" w:hanging="720"/>
        <w:rPr>
          <w:rFonts w:ascii="Times New Roman" w:eastAsia="Times New Roman" w:hAnsi="Times New Roman" w:cs="Times New Roman"/>
          <w:sz w:val="24"/>
          <w:szCs w:val="24"/>
        </w:rPr>
      </w:pPr>
      <w:r w:rsidRPr="00F47207">
        <w:rPr>
          <w:rFonts w:ascii="Times New Roman" w:eastAsia="Times New Roman" w:hAnsi="Times New Roman" w:cs="Times New Roman"/>
          <w:sz w:val="24"/>
          <w:szCs w:val="24"/>
        </w:rPr>
        <w:tab/>
        <w:t xml:space="preserve"> </w:t>
      </w:r>
    </w:p>
    <w:p w14:paraId="6B438800" w14:textId="77777777" w:rsidR="00EE57C7" w:rsidRDefault="00EE57C7"/>
    <w:p w14:paraId="18C561E9" w14:textId="77777777" w:rsidR="00F47207" w:rsidRDefault="00F47207"/>
    <w:sectPr w:rsidR="00F47207" w:rsidSect="00DC0A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C8BF" w14:textId="77777777" w:rsidR="009B2809" w:rsidRDefault="009B2809" w:rsidP="00DC0A46">
      <w:pPr>
        <w:spacing w:after="0" w:line="240" w:lineRule="auto"/>
      </w:pPr>
      <w:r>
        <w:separator/>
      </w:r>
    </w:p>
  </w:endnote>
  <w:endnote w:type="continuationSeparator" w:id="0">
    <w:p w14:paraId="54D45A62" w14:textId="77777777" w:rsidR="009B2809" w:rsidRDefault="009B2809" w:rsidP="00D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8060" w14:textId="77777777" w:rsidR="00DC0A46" w:rsidRDefault="00DC0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84A" w14:textId="77777777" w:rsidR="00DC0A46" w:rsidRDefault="00DC0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4A30" w14:textId="77777777" w:rsidR="00DC0A46" w:rsidRDefault="00DC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E2ED" w14:textId="77777777" w:rsidR="009B2809" w:rsidRDefault="009B2809" w:rsidP="00DC0A46">
      <w:pPr>
        <w:spacing w:after="0" w:line="240" w:lineRule="auto"/>
      </w:pPr>
      <w:r>
        <w:separator/>
      </w:r>
    </w:p>
  </w:footnote>
  <w:footnote w:type="continuationSeparator" w:id="0">
    <w:p w14:paraId="7DB03373" w14:textId="77777777" w:rsidR="009B2809" w:rsidRDefault="009B2809" w:rsidP="00DC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EF80" w14:textId="77777777" w:rsidR="00DC0A46" w:rsidRDefault="00DC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FD7A" w14:textId="77777777" w:rsidR="00DC0A46" w:rsidRDefault="00DC0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C0A46" w:rsidRPr="00115739" w14:paraId="3393BC3A" w14:textId="77777777" w:rsidTr="00A07A3C">
      <w:trPr>
        <w:trHeight w:val="1604"/>
        <w:jc w:val="center"/>
      </w:trPr>
      <w:tc>
        <w:tcPr>
          <w:tcW w:w="3150" w:type="dxa"/>
          <w:tcBorders>
            <w:bottom w:val="single" w:sz="4" w:space="0" w:color="FFC000"/>
          </w:tcBorders>
          <w:vAlign w:val="center"/>
        </w:tcPr>
        <w:p w14:paraId="05DDC3CE" w14:textId="77777777" w:rsidR="00DC0A46" w:rsidRPr="00F47207" w:rsidRDefault="00DC0A46" w:rsidP="00DC0A46">
          <w:pPr>
            <w:spacing w:after="0"/>
            <w:rPr>
              <w:rFonts w:ascii="Garamond" w:hAnsi="Garamond"/>
              <w:b/>
              <w:iCs/>
              <w:smallCaps/>
              <w:color w:val="404040"/>
              <w:sz w:val="24"/>
              <w:szCs w:val="24"/>
            </w:rPr>
          </w:pPr>
          <w:r w:rsidRPr="00F47207">
            <w:rPr>
              <w:rFonts w:ascii="Garamond" w:hAnsi="Garamond"/>
              <w:b/>
              <w:iCs/>
              <w:smallCaps/>
              <w:color w:val="404040"/>
              <w:sz w:val="24"/>
              <w:szCs w:val="24"/>
            </w:rPr>
            <w:t xml:space="preserve">        CITY OF BALTIMORE</w:t>
          </w:r>
        </w:p>
        <w:p w14:paraId="27AD6604" w14:textId="77777777" w:rsidR="00DC0A46" w:rsidRPr="00F47207" w:rsidRDefault="00DC0A46" w:rsidP="00DC0A46">
          <w:pPr>
            <w:spacing w:after="0"/>
            <w:jc w:val="center"/>
            <w:rPr>
              <w:rFonts w:ascii="Garamond" w:hAnsi="Garamond"/>
              <w:b/>
              <w:iCs/>
              <w:smallCaps/>
              <w:color w:val="404040"/>
              <w:sz w:val="24"/>
              <w:szCs w:val="24"/>
            </w:rPr>
          </w:pPr>
        </w:p>
        <w:p w14:paraId="422F796D" w14:textId="77777777" w:rsidR="00DC0A46" w:rsidRPr="00F47207" w:rsidRDefault="00DC0A46" w:rsidP="00DC0A46">
          <w:pPr>
            <w:spacing w:after="0"/>
            <w:jc w:val="center"/>
            <w:rPr>
              <w:rFonts w:ascii="Garamond" w:hAnsi="Garamond"/>
              <w:b/>
              <w:iCs/>
              <w:color w:val="404040"/>
              <w:sz w:val="24"/>
              <w:szCs w:val="24"/>
            </w:rPr>
          </w:pPr>
          <w:r w:rsidRPr="00F47207">
            <w:rPr>
              <w:rFonts w:ascii="Garamond" w:hAnsi="Garamond"/>
              <w:b/>
              <w:iCs/>
              <w:smallCaps/>
              <w:color w:val="404040"/>
              <w:sz w:val="28"/>
              <w:szCs w:val="28"/>
            </w:rPr>
            <w:t>b</w:t>
          </w:r>
          <w:r w:rsidRPr="00F47207">
            <w:rPr>
              <w:rFonts w:ascii="Garamond" w:hAnsi="Garamond"/>
              <w:b/>
              <w:iCs/>
              <w:smallCaps/>
              <w:color w:val="404040"/>
              <w:sz w:val="24"/>
              <w:szCs w:val="24"/>
            </w:rPr>
            <w:t xml:space="preserve">ernard </w:t>
          </w:r>
          <w:r w:rsidRPr="00F47207">
            <w:rPr>
              <w:rFonts w:ascii="Garamond" w:hAnsi="Garamond"/>
              <w:b/>
              <w:iCs/>
              <w:smallCaps/>
              <w:color w:val="404040"/>
              <w:sz w:val="28"/>
              <w:szCs w:val="28"/>
            </w:rPr>
            <w:t>c</w:t>
          </w:r>
          <w:r w:rsidRPr="00F47207">
            <w:rPr>
              <w:rFonts w:ascii="Garamond" w:hAnsi="Garamond"/>
              <w:b/>
              <w:iCs/>
              <w:smallCaps/>
              <w:color w:val="404040"/>
              <w:sz w:val="24"/>
              <w:szCs w:val="24"/>
            </w:rPr>
            <w:t>. “</w:t>
          </w:r>
          <w:r w:rsidRPr="00F47207">
            <w:rPr>
              <w:rFonts w:ascii="Garamond" w:hAnsi="Garamond"/>
              <w:b/>
              <w:iCs/>
              <w:smallCaps/>
              <w:color w:val="404040"/>
              <w:sz w:val="28"/>
              <w:szCs w:val="28"/>
            </w:rPr>
            <w:t>j</w:t>
          </w:r>
          <w:r w:rsidRPr="00F47207">
            <w:rPr>
              <w:rFonts w:ascii="Garamond" w:hAnsi="Garamond"/>
              <w:b/>
              <w:iCs/>
              <w:smallCaps/>
              <w:color w:val="404040"/>
              <w:sz w:val="24"/>
              <w:szCs w:val="24"/>
            </w:rPr>
            <w:t xml:space="preserve">ack” </w:t>
          </w:r>
          <w:r w:rsidRPr="00F47207">
            <w:rPr>
              <w:rFonts w:ascii="Garamond" w:hAnsi="Garamond"/>
              <w:b/>
              <w:iCs/>
              <w:smallCaps/>
              <w:color w:val="404040"/>
              <w:sz w:val="28"/>
              <w:szCs w:val="28"/>
            </w:rPr>
            <w:t>y</w:t>
          </w:r>
          <w:r w:rsidRPr="00F47207">
            <w:rPr>
              <w:rFonts w:ascii="Garamond" w:hAnsi="Garamond"/>
              <w:b/>
              <w:iCs/>
              <w:smallCaps/>
              <w:color w:val="404040"/>
              <w:sz w:val="24"/>
              <w:szCs w:val="24"/>
            </w:rPr>
            <w:t>oung</w:t>
          </w:r>
        </w:p>
        <w:p w14:paraId="32521980" w14:textId="77777777" w:rsidR="00DC0A46" w:rsidRPr="00F47207" w:rsidRDefault="00DC0A46" w:rsidP="00DC0A46">
          <w:pPr>
            <w:spacing w:after="0"/>
            <w:jc w:val="center"/>
            <w:rPr>
              <w:rFonts w:ascii="Garamond" w:hAnsi="Garamond"/>
              <w:b/>
              <w:iCs/>
              <w:noProof/>
              <w:color w:val="404040"/>
              <w:szCs w:val="16"/>
            </w:rPr>
          </w:pPr>
          <w:r w:rsidRPr="00F47207">
            <w:rPr>
              <w:rFonts w:ascii="Garamond" w:hAnsi="Garamond"/>
              <w:b/>
              <w:iCs/>
              <w:color w:val="404040"/>
              <w:sz w:val="24"/>
              <w:szCs w:val="24"/>
            </w:rPr>
            <w:t>Mayor</w:t>
          </w:r>
        </w:p>
      </w:tc>
      <w:tc>
        <w:tcPr>
          <w:tcW w:w="3150" w:type="dxa"/>
          <w:tcBorders>
            <w:bottom w:val="single" w:sz="4" w:space="0" w:color="FFC000"/>
          </w:tcBorders>
          <w:vAlign w:val="center"/>
          <w:hideMark/>
        </w:tcPr>
        <w:p w14:paraId="12A9013E" w14:textId="77777777" w:rsidR="00DC0A46" w:rsidRPr="00F47207" w:rsidRDefault="00DC0A46" w:rsidP="00DC0A46">
          <w:pPr>
            <w:spacing w:before="100" w:beforeAutospacing="1" w:after="100" w:afterAutospacing="1" w:line="240" w:lineRule="auto"/>
            <w:contextualSpacing/>
            <w:jc w:val="center"/>
            <w:rPr>
              <w:rFonts w:ascii="Garamond" w:hAnsi="Garamond"/>
              <w:b/>
              <w:iCs/>
              <w:color w:val="404040"/>
              <w:sz w:val="12"/>
              <w:szCs w:val="16"/>
            </w:rPr>
          </w:pPr>
        </w:p>
        <w:p w14:paraId="78A174C5" w14:textId="77777777" w:rsidR="00DC0A46" w:rsidRPr="00F47207" w:rsidRDefault="00DC0A46" w:rsidP="00DC0A46">
          <w:pPr>
            <w:spacing w:before="100" w:beforeAutospacing="1" w:after="100" w:afterAutospacing="1" w:line="240" w:lineRule="auto"/>
            <w:contextualSpacing/>
            <w:jc w:val="center"/>
            <w:rPr>
              <w:rFonts w:ascii="Garamond" w:hAnsi="Garamond"/>
              <w:b/>
              <w:iCs/>
              <w:color w:val="404040"/>
              <w:szCs w:val="16"/>
            </w:rPr>
          </w:pPr>
          <w:r w:rsidRPr="00F47207">
            <w:rPr>
              <w:rFonts w:ascii="Garamond" w:hAnsi="Garamond"/>
              <w:b/>
              <w:iCs/>
              <w:noProof/>
              <w:color w:val="404040"/>
              <w:szCs w:val="16"/>
            </w:rPr>
            <w:drawing>
              <wp:inline distT="0" distB="0" distL="0" distR="0" wp14:anchorId="33B8F344" wp14:editId="59593897">
                <wp:extent cx="825910" cy="9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6509B42F" w14:textId="77777777" w:rsidR="00DC0A46" w:rsidRPr="00F47207" w:rsidRDefault="00DC0A46" w:rsidP="00DC0A46">
          <w:pPr>
            <w:spacing w:after="0"/>
            <w:jc w:val="center"/>
            <w:rPr>
              <w:rFonts w:ascii="Garamond" w:hAnsi="Garamond"/>
              <w:b/>
              <w:iCs/>
              <w:smallCaps/>
              <w:color w:val="404040"/>
              <w:szCs w:val="16"/>
            </w:rPr>
          </w:pPr>
        </w:p>
        <w:p w14:paraId="40524A6A" w14:textId="77777777" w:rsidR="00DC0A46" w:rsidRPr="00F47207" w:rsidRDefault="00DC0A46" w:rsidP="00DC0A46">
          <w:pPr>
            <w:spacing w:after="0"/>
            <w:rPr>
              <w:rFonts w:ascii="Garamond" w:hAnsi="Garamond"/>
              <w:b/>
              <w:iCs/>
              <w:smallCaps/>
              <w:color w:val="404040"/>
              <w:szCs w:val="16"/>
            </w:rPr>
          </w:pPr>
          <w:r w:rsidRPr="00F47207">
            <w:rPr>
              <w:rFonts w:ascii="Garamond" w:hAnsi="Garamond"/>
              <w:b/>
              <w:iCs/>
              <w:smallCaps/>
              <w:color w:val="404040"/>
              <w:szCs w:val="16"/>
            </w:rPr>
            <w:t>DEPARTMENT OF LAW</w:t>
          </w:r>
        </w:p>
        <w:p w14:paraId="2FFD8818" w14:textId="77777777" w:rsidR="00DC0A46" w:rsidRPr="00F47207" w:rsidRDefault="00DC0A46" w:rsidP="00DC0A46">
          <w:pPr>
            <w:spacing w:after="0"/>
            <w:rPr>
              <w:rFonts w:ascii="Garamond" w:hAnsi="Garamond"/>
              <w:b/>
              <w:iCs/>
              <w:smallCaps/>
              <w:color w:val="404040"/>
              <w:sz w:val="20"/>
              <w:szCs w:val="20"/>
            </w:rPr>
          </w:pPr>
          <w:r w:rsidRPr="00F47207">
            <w:rPr>
              <w:rFonts w:ascii="Garamond" w:hAnsi="Garamond"/>
              <w:b/>
              <w:iCs/>
              <w:smallCaps/>
              <w:color w:val="404040"/>
              <w:sz w:val="20"/>
              <w:szCs w:val="20"/>
            </w:rPr>
            <w:t>Dana P. Moore, Acting City Solicitor</w:t>
          </w:r>
          <w:r w:rsidRPr="00F47207">
            <w:rPr>
              <w:rFonts w:ascii="Garamond" w:hAnsi="Garamond"/>
              <w:b/>
              <w:iCs/>
              <w:smallCaps/>
              <w:color w:val="404040"/>
              <w:sz w:val="20"/>
              <w:szCs w:val="20"/>
            </w:rPr>
            <w:br/>
            <w:t xml:space="preserve">100 N. Holliday Street </w:t>
          </w:r>
        </w:p>
        <w:p w14:paraId="2C5AD46A" w14:textId="77777777" w:rsidR="00DC0A46" w:rsidRPr="00F47207" w:rsidRDefault="00DC0A46" w:rsidP="00DC0A46">
          <w:pPr>
            <w:spacing w:after="0"/>
            <w:rPr>
              <w:rFonts w:ascii="Garamond" w:hAnsi="Garamond"/>
              <w:b/>
              <w:iCs/>
              <w:smallCaps/>
              <w:color w:val="404040"/>
              <w:szCs w:val="16"/>
            </w:rPr>
          </w:pPr>
          <w:r w:rsidRPr="00F47207">
            <w:rPr>
              <w:rFonts w:ascii="Garamond" w:hAnsi="Garamond"/>
              <w:b/>
              <w:iCs/>
              <w:smallCaps/>
              <w:color w:val="404040"/>
              <w:sz w:val="20"/>
              <w:szCs w:val="20"/>
            </w:rPr>
            <w:t>Suite 101, City Hall</w:t>
          </w:r>
          <w:r w:rsidRPr="00F47207">
            <w:rPr>
              <w:rFonts w:ascii="Garamond" w:hAnsi="Garamond"/>
              <w:b/>
              <w:iCs/>
              <w:smallCaps/>
              <w:color w:val="404040"/>
              <w:sz w:val="20"/>
              <w:szCs w:val="20"/>
            </w:rPr>
            <w:br/>
            <w:t>Baltimore, MD 21202</w:t>
          </w:r>
        </w:p>
      </w:tc>
    </w:tr>
  </w:tbl>
  <w:p w14:paraId="45A8CF1E" w14:textId="77777777" w:rsidR="00DC0A46" w:rsidRDefault="00DC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46"/>
    <w:rsid w:val="00604D8A"/>
    <w:rsid w:val="006F7A4D"/>
    <w:rsid w:val="0088070E"/>
    <w:rsid w:val="009B2809"/>
    <w:rsid w:val="00DC0A46"/>
    <w:rsid w:val="00DE3ACA"/>
    <w:rsid w:val="00EE57C7"/>
    <w:rsid w:val="00F4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930C"/>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DiPietro, Elena (Law Dept)</cp:lastModifiedBy>
  <cp:revision>5</cp:revision>
  <dcterms:created xsi:type="dcterms:W3CDTF">2020-10-28T16:53:00Z</dcterms:created>
  <dcterms:modified xsi:type="dcterms:W3CDTF">2020-10-28T19:06:00Z</dcterms:modified>
</cp:coreProperties>
</file>