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09C535" w14:textId="2855DB43" w:rsidR="005D5EEA" w:rsidRPr="005D5EEA" w:rsidRDefault="00E162D2" w:rsidP="005D5EEA">
      <w:pPr>
        <w:tabs>
          <w:tab w:val="center" w:pos="468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October </w:t>
      </w:r>
      <w:r w:rsidR="002A58CE">
        <w:rPr>
          <w:rFonts w:ascii="Times New Roman" w:eastAsia="Times New Roman" w:hAnsi="Times New Roman" w:cs="Times New Roman"/>
          <w:sz w:val="24"/>
          <w:szCs w:val="24"/>
        </w:rPr>
        <w:t>30</w:t>
      </w:r>
      <w:r w:rsidR="003A033A">
        <w:rPr>
          <w:rFonts w:ascii="Times New Roman" w:eastAsia="Times New Roman" w:hAnsi="Times New Roman" w:cs="Times New Roman"/>
          <w:sz w:val="24"/>
          <w:szCs w:val="24"/>
        </w:rPr>
        <w:t>,</w:t>
      </w:r>
      <w:r w:rsidR="005D5EEA" w:rsidRPr="005D5EEA">
        <w:rPr>
          <w:rFonts w:ascii="Times New Roman" w:eastAsia="Times New Roman" w:hAnsi="Times New Roman" w:cs="Times New Roman"/>
          <w:sz w:val="24"/>
          <w:szCs w:val="24"/>
        </w:rPr>
        <w:t xml:space="preserve"> 2020</w:t>
      </w:r>
    </w:p>
    <w:p w14:paraId="10DF2ADE" w14:textId="77777777" w:rsidR="005D5EEA" w:rsidRPr="005D5EEA" w:rsidRDefault="005D5EEA" w:rsidP="005D5EEA">
      <w:pPr>
        <w:spacing w:after="0" w:line="240" w:lineRule="auto"/>
        <w:rPr>
          <w:rFonts w:ascii="Times New Roman" w:eastAsia="Times New Roman" w:hAnsi="Times New Roman" w:cs="Times New Roman"/>
          <w:sz w:val="24"/>
          <w:szCs w:val="24"/>
        </w:rPr>
      </w:pPr>
    </w:p>
    <w:p w14:paraId="5C7C4B5B" w14:textId="77777777" w:rsidR="005D5EEA" w:rsidRPr="005D5EEA" w:rsidRDefault="005D5EEA" w:rsidP="005D5EEA">
      <w:pPr>
        <w:spacing w:after="0" w:line="240" w:lineRule="auto"/>
        <w:rPr>
          <w:rFonts w:ascii="Times New Roman" w:eastAsia="Times New Roman" w:hAnsi="Times New Roman" w:cs="Times New Roman"/>
          <w:sz w:val="24"/>
          <w:szCs w:val="24"/>
        </w:rPr>
      </w:pPr>
      <w:r w:rsidRPr="005D5EEA">
        <w:rPr>
          <w:rFonts w:ascii="Times New Roman" w:eastAsia="Times New Roman" w:hAnsi="Times New Roman" w:cs="Times New Roman"/>
          <w:sz w:val="24"/>
          <w:szCs w:val="24"/>
        </w:rPr>
        <w:t>The Honorable President and Members</w:t>
      </w:r>
    </w:p>
    <w:p w14:paraId="2763D18E" w14:textId="77777777" w:rsidR="005D5EEA" w:rsidRPr="005D5EEA" w:rsidRDefault="005D5EEA" w:rsidP="005D5EEA">
      <w:pPr>
        <w:spacing w:after="0" w:line="240" w:lineRule="auto"/>
        <w:rPr>
          <w:rFonts w:ascii="Times New Roman" w:eastAsia="Times New Roman" w:hAnsi="Times New Roman" w:cs="Times New Roman"/>
          <w:sz w:val="24"/>
          <w:szCs w:val="24"/>
        </w:rPr>
      </w:pPr>
      <w:r w:rsidRPr="005D5EEA">
        <w:rPr>
          <w:rFonts w:ascii="Times New Roman" w:eastAsia="Times New Roman" w:hAnsi="Times New Roman" w:cs="Times New Roman"/>
          <w:sz w:val="24"/>
          <w:szCs w:val="24"/>
        </w:rPr>
        <w:t xml:space="preserve">  of the Baltimore City Council</w:t>
      </w:r>
    </w:p>
    <w:p w14:paraId="3B6AF2DA" w14:textId="77777777" w:rsidR="005D5EEA" w:rsidRPr="005D5EEA" w:rsidRDefault="005D5EEA" w:rsidP="005D5EEA">
      <w:pPr>
        <w:spacing w:after="0" w:line="240" w:lineRule="auto"/>
        <w:rPr>
          <w:rFonts w:ascii="Times New Roman" w:eastAsia="Times New Roman" w:hAnsi="Times New Roman" w:cs="Times New Roman"/>
          <w:sz w:val="24"/>
          <w:szCs w:val="24"/>
        </w:rPr>
      </w:pPr>
      <w:r w:rsidRPr="005D5EEA">
        <w:rPr>
          <w:rFonts w:ascii="Times New Roman" w:eastAsia="Times New Roman" w:hAnsi="Times New Roman" w:cs="Times New Roman"/>
          <w:sz w:val="24"/>
          <w:szCs w:val="24"/>
        </w:rPr>
        <w:t>Attn:  Natawna B. Austin, Executive Secretary</w:t>
      </w:r>
    </w:p>
    <w:p w14:paraId="10F36CDD" w14:textId="77777777" w:rsidR="005D5EEA" w:rsidRPr="005D5EEA" w:rsidRDefault="005D5EEA" w:rsidP="005D5EEA">
      <w:pPr>
        <w:spacing w:after="0" w:line="240" w:lineRule="auto"/>
        <w:rPr>
          <w:rFonts w:ascii="Times New Roman" w:eastAsia="Times New Roman" w:hAnsi="Times New Roman" w:cs="Times New Roman"/>
          <w:sz w:val="24"/>
          <w:szCs w:val="24"/>
        </w:rPr>
      </w:pPr>
      <w:r w:rsidRPr="005D5EEA">
        <w:rPr>
          <w:rFonts w:ascii="Times New Roman" w:eastAsia="Times New Roman" w:hAnsi="Times New Roman" w:cs="Times New Roman"/>
          <w:sz w:val="24"/>
          <w:szCs w:val="24"/>
        </w:rPr>
        <w:t>Room 409, City Hall, 100 N. Holliday Street</w:t>
      </w:r>
    </w:p>
    <w:p w14:paraId="65A421B1" w14:textId="77777777" w:rsidR="005D5EEA" w:rsidRPr="005D5EEA" w:rsidRDefault="005D5EEA" w:rsidP="005D5EEA">
      <w:pPr>
        <w:spacing w:after="0" w:line="240" w:lineRule="auto"/>
        <w:rPr>
          <w:rFonts w:ascii="Times New Roman" w:eastAsia="Times New Roman" w:hAnsi="Times New Roman" w:cs="Times New Roman"/>
          <w:sz w:val="24"/>
          <w:szCs w:val="24"/>
        </w:rPr>
      </w:pPr>
      <w:r w:rsidRPr="005D5EEA">
        <w:rPr>
          <w:rFonts w:ascii="Times New Roman" w:eastAsia="Times New Roman" w:hAnsi="Times New Roman" w:cs="Times New Roman"/>
          <w:sz w:val="24"/>
          <w:szCs w:val="24"/>
        </w:rPr>
        <w:t>Baltimore, Maryland 21202</w:t>
      </w:r>
    </w:p>
    <w:p w14:paraId="5B1A8576" w14:textId="588AEF4B" w:rsidR="005D5EEA" w:rsidRDefault="005D5EEA" w:rsidP="006E7D4F">
      <w:pPr>
        <w:tabs>
          <w:tab w:val="center" w:pos="4320"/>
          <w:tab w:val="left" w:pos="4860"/>
          <w:tab w:val="right" w:pos="8640"/>
        </w:tabs>
        <w:spacing w:after="0" w:line="240" w:lineRule="auto"/>
        <w:rPr>
          <w:rFonts w:ascii="Times New Roman" w:eastAsia="Times New Roman" w:hAnsi="Times New Roman" w:cs="Times New Roman"/>
          <w:sz w:val="24"/>
          <w:szCs w:val="24"/>
        </w:rPr>
      </w:pPr>
    </w:p>
    <w:p w14:paraId="2C52B13A" w14:textId="67C55496" w:rsidR="006E7D4F" w:rsidRDefault="006E7D4F" w:rsidP="006E7D4F">
      <w:pPr>
        <w:ind w:left="720"/>
        <w:rPr>
          <w:rFonts w:ascii="Times New Roman" w:hAnsi="Times New Roman" w:cs="Times New Roman"/>
          <w:sz w:val="24"/>
          <w:szCs w:val="24"/>
        </w:rPr>
      </w:pPr>
      <w:r w:rsidRPr="00E4424A">
        <w:rPr>
          <w:rFonts w:ascii="Times New Roman" w:hAnsi="Times New Roman" w:cs="Times New Roman"/>
          <w:sz w:val="24"/>
          <w:szCs w:val="24"/>
        </w:rPr>
        <w:t xml:space="preserve">Re:  City Council Bill </w:t>
      </w:r>
      <w:r w:rsidR="00047036">
        <w:rPr>
          <w:rFonts w:ascii="Times New Roman" w:hAnsi="Times New Roman" w:cs="Times New Roman"/>
          <w:sz w:val="24"/>
          <w:szCs w:val="24"/>
        </w:rPr>
        <w:t>20-</w:t>
      </w:r>
      <w:r w:rsidR="00600945">
        <w:rPr>
          <w:rFonts w:ascii="Times New Roman" w:hAnsi="Times New Roman" w:cs="Times New Roman"/>
          <w:sz w:val="24"/>
          <w:szCs w:val="24"/>
        </w:rPr>
        <w:t>0631</w:t>
      </w:r>
      <w:r w:rsidR="003A033A">
        <w:rPr>
          <w:rFonts w:ascii="Times New Roman" w:hAnsi="Times New Roman" w:cs="Times New Roman"/>
          <w:sz w:val="24"/>
          <w:szCs w:val="24"/>
        </w:rPr>
        <w:t xml:space="preserve"> </w:t>
      </w:r>
      <w:r w:rsidR="00047036">
        <w:rPr>
          <w:rFonts w:ascii="Times New Roman" w:hAnsi="Times New Roman" w:cs="Times New Roman"/>
          <w:sz w:val="24"/>
          <w:szCs w:val="24"/>
        </w:rPr>
        <w:t>–</w:t>
      </w:r>
      <w:r w:rsidR="003A033A">
        <w:rPr>
          <w:rFonts w:ascii="Times New Roman" w:hAnsi="Times New Roman" w:cs="Times New Roman"/>
          <w:sz w:val="24"/>
          <w:szCs w:val="24"/>
        </w:rPr>
        <w:t xml:space="preserve"> </w:t>
      </w:r>
      <w:r w:rsidR="00600945" w:rsidRPr="00600945">
        <w:rPr>
          <w:rFonts w:ascii="Times New Roman" w:hAnsi="Times New Roman" w:cs="Times New Roman"/>
          <w:sz w:val="24"/>
          <w:szCs w:val="24"/>
        </w:rPr>
        <w:t>Excise Tax – Electronic Smoking Devices</w:t>
      </w:r>
    </w:p>
    <w:p w14:paraId="7B65D715" w14:textId="77777777" w:rsidR="006E7D4F" w:rsidRPr="00E4424A" w:rsidRDefault="006E7D4F" w:rsidP="006E7D4F">
      <w:pPr>
        <w:rPr>
          <w:rFonts w:ascii="Times New Roman" w:hAnsi="Times New Roman" w:cs="Times New Roman"/>
          <w:sz w:val="24"/>
          <w:szCs w:val="24"/>
        </w:rPr>
      </w:pPr>
      <w:r w:rsidRPr="00E4424A">
        <w:rPr>
          <w:rFonts w:ascii="Times New Roman" w:hAnsi="Times New Roman" w:cs="Times New Roman"/>
          <w:sz w:val="24"/>
          <w:szCs w:val="24"/>
        </w:rPr>
        <w:t>Dear President and City Council Members:</w:t>
      </w:r>
    </w:p>
    <w:p w14:paraId="0CF938BE" w14:textId="13A224FC" w:rsidR="006E7D4F" w:rsidRDefault="006E7D4F" w:rsidP="00600945">
      <w:pPr>
        <w:jc w:val="both"/>
        <w:rPr>
          <w:rFonts w:ascii="Times New Roman" w:hAnsi="Times New Roman" w:cs="Times New Roman"/>
          <w:sz w:val="24"/>
          <w:szCs w:val="24"/>
        </w:rPr>
      </w:pPr>
      <w:r w:rsidRPr="00E4424A">
        <w:rPr>
          <w:rFonts w:ascii="Times New Roman" w:hAnsi="Times New Roman" w:cs="Times New Roman"/>
          <w:sz w:val="24"/>
          <w:szCs w:val="24"/>
        </w:rPr>
        <w:tab/>
        <w:t>The Law Department has reviewed City Council Bill</w:t>
      </w:r>
      <w:r w:rsidR="00047036">
        <w:rPr>
          <w:rFonts w:ascii="Times New Roman" w:hAnsi="Times New Roman" w:cs="Times New Roman"/>
          <w:sz w:val="24"/>
          <w:szCs w:val="24"/>
        </w:rPr>
        <w:t xml:space="preserve"> 20-0</w:t>
      </w:r>
      <w:r w:rsidR="00600945">
        <w:rPr>
          <w:rFonts w:ascii="Times New Roman" w:hAnsi="Times New Roman" w:cs="Times New Roman"/>
          <w:sz w:val="24"/>
          <w:szCs w:val="24"/>
        </w:rPr>
        <w:t>631</w:t>
      </w:r>
      <w:r>
        <w:rPr>
          <w:rFonts w:ascii="Times New Roman" w:hAnsi="Times New Roman" w:cs="Times New Roman"/>
          <w:sz w:val="24"/>
          <w:szCs w:val="24"/>
        </w:rPr>
        <w:t xml:space="preserve"> </w:t>
      </w:r>
      <w:r w:rsidRPr="00E4424A">
        <w:rPr>
          <w:rFonts w:ascii="Times New Roman" w:hAnsi="Times New Roman" w:cs="Times New Roman"/>
          <w:sz w:val="24"/>
          <w:szCs w:val="24"/>
        </w:rPr>
        <w:t xml:space="preserve">for form and legal sufficiency. </w:t>
      </w:r>
      <w:r w:rsidR="00B85274">
        <w:rPr>
          <w:rFonts w:ascii="Times New Roman" w:hAnsi="Times New Roman" w:cs="Times New Roman"/>
          <w:sz w:val="24"/>
          <w:szCs w:val="24"/>
        </w:rPr>
        <w:t xml:space="preserve">The bill </w:t>
      </w:r>
      <w:r w:rsidR="00600945" w:rsidRPr="00600945">
        <w:rPr>
          <w:rFonts w:ascii="Times New Roman" w:hAnsi="Times New Roman" w:cs="Times New Roman"/>
          <w:sz w:val="24"/>
          <w:szCs w:val="24"/>
        </w:rPr>
        <w:t>repeal</w:t>
      </w:r>
      <w:r w:rsidR="00600945">
        <w:rPr>
          <w:rFonts w:ascii="Times New Roman" w:hAnsi="Times New Roman" w:cs="Times New Roman"/>
          <w:sz w:val="24"/>
          <w:szCs w:val="24"/>
        </w:rPr>
        <w:t xml:space="preserve">s </w:t>
      </w:r>
      <w:r w:rsidR="00600945" w:rsidRPr="00600945">
        <w:rPr>
          <w:rFonts w:ascii="Times New Roman" w:hAnsi="Times New Roman" w:cs="Times New Roman"/>
          <w:sz w:val="24"/>
          <w:szCs w:val="24"/>
        </w:rPr>
        <w:t>current Subtitle 27 {“Tobacco Tax”} as abrogated by function of</w:t>
      </w:r>
      <w:r w:rsidR="00600945">
        <w:rPr>
          <w:rFonts w:ascii="Times New Roman" w:hAnsi="Times New Roman" w:cs="Times New Roman"/>
          <w:sz w:val="24"/>
          <w:szCs w:val="24"/>
        </w:rPr>
        <w:t xml:space="preserve"> </w:t>
      </w:r>
      <w:r w:rsidR="00600945" w:rsidRPr="00600945">
        <w:rPr>
          <w:rFonts w:ascii="Times New Roman" w:hAnsi="Times New Roman" w:cs="Times New Roman"/>
          <w:sz w:val="24"/>
          <w:szCs w:val="24"/>
        </w:rPr>
        <w:t>law</w:t>
      </w:r>
      <w:r w:rsidR="00600945">
        <w:rPr>
          <w:rFonts w:ascii="Times New Roman" w:hAnsi="Times New Roman" w:cs="Times New Roman"/>
          <w:sz w:val="24"/>
          <w:szCs w:val="24"/>
        </w:rPr>
        <w:t xml:space="preserve"> and </w:t>
      </w:r>
      <w:r w:rsidR="00600945" w:rsidRPr="00600945">
        <w:rPr>
          <w:rFonts w:ascii="Times New Roman" w:hAnsi="Times New Roman" w:cs="Times New Roman"/>
          <w:sz w:val="24"/>
          <w:szCs w:val="24"/>
        </w:rPr>
        <w:t>establish</w:t>
      </w:r>
      <w:r w:rsidR="00600945">
        <w:rPr>
          <w:rFonts w:ascii="Times New Roman" w:hAnsi="Times New Roman" w:cs="Times New Roman"/>
          <w:sz w:val="24"/>
          <w:szCs w:val="24"/>
        </w:rPr>
        <w:t>es</w:t>
      </w:r>
      <w:r w:rsidR="00600945" w:rsidRPr="00600945">
        <w:rPr>
          <w:rFonts w:ascii="Times New Roman" w:hAnsi="Times New Roman" w:cs="Times New Roman"/>
          <w:sz w:val="24"/>
          <w:szCs w:val="24"/>
        </w:rPr>
        <w:t xml:space="preserve"> an excise tax on the distribution of electronic smoking devices</w:t>
      </w:r>
      <w:r w:rsidR="00600945">
        <w:rPr>
          <w:rFonts w:ascii="Times New Roman" w:hAnsi="Times New Roman" w:cs="Times New Roman"/>
          <w:sz w:val="24"/>
          <w:szCs w:val="24"/>
        </w:rPr>
        <w:t xml:space="preserve">.  It sets </w:t>
      </w:r>
      <w:r w:rsidR="00600945" w:rsidRPr="00600945">
        <w:rPr>
          <w:rFonts w:ascii="Times New Roman" w:hAnsi="Times New Roman" w:cs="Times New Roman"/>
          <w:sz w:val="24"/>
          <w:szCs w:val="24"/>
        </w:rPr>
        <w:t>the</w:t>
      </w:r>
      <w:r w:rsidR="00600945">
        <w:rPr>
          <w:rFonts w:ascii="Times New Roman" w:hAnsi="Times New Roman" w:cs="Times New Roman"/>
          <w:sz w:val="24"/>
          <w:szCs w:val="24"/>
        </w:rPr>
        <w:t xml:space="preserve"> </w:t>
      </w:r>
      <w:r w:rsidR="00600945" w:rsidRPr="00600945">
        <w:rPr>
          <w:rFonts w:ascii="Times New Roman" w:hAnsi="Times New Roman" w:cs="Times New Roman"/>
          <w:sz w:val="24"/>
          <w:szCs w:val="24"/>
        </w:rPr>
        <w:t>rate of the tax</w:t>
      </w:r>
      <w:r w:rsidR="00600945">
        <w:rPr>
          <w:rFonts w:ascii="Times New Roman" w:hAnsi="Times New Roman" w:cs="Times New Roman"/>
          <w:sz w:val="24"/>
          <w:szCs w:val="24"/>
        </w:rPr>
        <w:t xml:space="preserve">, </w:t>
      </w:r>
      <w:r w:rsidR="00600945" w:rsidRPr="00600945">
        <w:rPr>
          <w:rFonts w:ascii="Times New Roman" w:hAnsi="Times New Roman" w:cs="Times New Roman"/>
          <w:sz w:val="24"/>
          <w:szCs w:val="24"/>
        </w:rPr>
        <w:t>authoriz</w:t>
      </w:r>
      <w:r w:rsidR="00600945">
        <w:rPr>
          <w:rFonts w:ascii="Times New Roman" w:hAnsi="Times New Roman" w:cs="Times New Roman"/>
          <w:sz w:val="24"/>
          <w:szCs w:val="24"/>
        </w:rPr>
        <w:t>es</w:t>
      </w:r>
      <w:r w:rsidR="00600945" w:rsidRPr="00600945">
        <w:rPr>
          <w:rFonts w:ascii="Times New Roman" w:hAnsi="Times New Roman" w:cs="Times New Roman"/>
          <w:sz w:val="24"/>
          <w:szCs w:val="24"/>
        </w:rPr>
        <w:t xml:space="preserve"> the Director of Finance to issue certain</w:t>
      </w:r>
      <w:r w:rsidR="00600945">
        <w:rPr>
          <w:rFonts w:ascii="Times New Roman" w:hAnsi="Times New Roman" w:cs="Times New Roman"/>
          <w:sz w:val="24"/>
          <w:szCs w:val="24"/>
        </w:rPr>
        <w:t xml:space="preserve"> </w:t>
      </w:r>
      <w:r w:rsidR="00600945" w:rsidRPr="00600945">
        <w:rPr>
          <w:rFonts w:ascii="Times New Roman" w:hAnsi="Times New Roman" w:cs="Times New Roman"/>
          <w:sz w:val="24"/>
          <w:szCs w:val="24"/>
        </w:rPr>
        <w:t>regulations</w:t>
      </w:r>
      <w:r w:rsidR="00600945">
        <w:rPr>
          <w:rFonts w:ascii="Times New Roman" w:hAnsi="Times New Roman" w:cs="Times New Roman"/>
          <w:sz w:val="24"/>
          <w:szCs w:val="24"/>
        </w:rPr>
        <w:t xml:space="preserve">, and </w:t>
      </w:r>
      <w:r w:rsidR="00600945" w:rsidRPr="00600945">
        <w:rPr>
          <w:rFonts w:ascii="Times New Roman" w:hAnsi="Times New Roman" w:cs="Times New Roman"/>
          <w:sz w:val="24"/>
          <w:szCs w:val="24"/>
        </w:rPr>
        <w:t>provid</w:t>
      </w:r>
      <w:r w:rsidR="00600945">
        <w:rPr>
          <w:rFonts w:ascii="Times New Roman" w:hAnsi="Times New Roman" w:cs="Times New Roman"/>
          <w:sz w:val="24"/>
          <w:szCs w:val="24"/>
        </w:rPr>
        <w:t>es</w:t>
      </w:r>
      <w:r w:rsidR="00600945" w:rsidRPr="00600945">
        <w:rPr>
          <w:rFonts w:ascii="Times New Roman" w:hAnsi="Times New Roman" w:cs="Times New Roman"/>
          <w:sz w:val="24"/>
          <w:szCs w:val="24"/>
        </w:rPr>
        <w:t xml:space="preserve"> for collection of the tax and payment of interest and penaltie</w:t>
      </w:r>
      <w:r w:rsidR="00600945">
        <w:rPr>
          <w:rFonts w:ascii="Times New Roman" w:hAnsi="Times New Roman" w:cs="Times New Roman"/>
          <w:sz w:val="24"/>
          <w:szCs w:val="24"/>
        </w:rPr>
        <w:t>s</w:t>
      </w:r>
      <w:r w:rsidR="008A40E3">
        <w:rPr>
          <w:rFonts w:ascii="Times New Roman" w:hAnsi="Times New Roman" w:cs="Times New Roman"/>
          <w:sz w:val="24"/>
          <w:szCs w:val="24"/>
        </w:rPr>
        <w:t xml:space="preserve">.  </w:t>
      </w:r>
      <w:r w:rsidR="00600945">
        <w:rPr>
          <w:rFonts w:ascii="Times New Roman" w:hAnsi="Times New Roman" w:cs="Times New Roman"/>
          <w:sz w:val="24"/>
          <w:szCs w:val="24"/>
        </w:rPr>
        <w:t xml:space="preserve">The bill provides for an immediate effective date. </w:t>
      </w:r>
    </w:p>
    <w:p w14:paraId="40630310" w14:textId="40DD9938" w:rsidR="00974481" w:rsidRPr="00974481" w:rsidRDefault="00002883" w:rsidP="00974481">
      <w:pPr>
        <w:spacing w:after="0" w:line="240" w:lineRule="auto"/>
        <w:ind w:firstLine="540"/>
        <w:jc w:val="both"/>
        <w:rPr>
          <w:rFonts w:ascii="Times New Roman" w:eastAsia="Times New Roman" w:hAnsi="Times New Roman" w:cs="Times New Roman"/>
          <w:sz w:val="24"/>
          <w:szCs w:val="24"/>
        </w:rPr>
      </w:pPr>
      <w:r>
        <w:rPr>
          <w:rFonts w:ascii="Times New Roman" w:hAnsi="Times New Roman" w:cs="Times New Roman"/>
          <w:sz w:val="24"/>
          <w:szCs w:val="24"/>
        </w:rPr>
        <w:tab/>
      </w:r>
      <w:r>
        <w:rPr>
          <w:rFonts w:ascii="Times New Roman" w:eastAsia="Times New Roman" w:hAnsi="Times New Roman" w:cs="Times New Roman"/>
          <w:sz w:val="24"/>
          <w:szCs w:val="24"/>
        </w:rPr>
        <w:t xml:space="preserve">The </w:t>
      </w:r>
      <w:r w:rsidR="00231617">
        <w:rPr>
          <w:rFonts w:ascii="Times New Roman" w:eastAsia="Times New Roman" w:hAnsi="Times New Roman" w:cs="Times New Roman"/>
          <w:sz w:val="24"/>
          <w:szCs w:val="24"/>
        </w:rPr>
        <w:t xml:space="preserve">Law Department’s review of this bill focuses on the nature of the excise tax </w:t>
      </w:r>
      <w:r w:rsidR="001E2A11">
        <w:rPr>
          <w:rFonts w:ascii="Times New Roman" w:eastAsia="Times New Roman" w:hAnsi="Times New Roman" w:cs="Times New Roman"/>
          <w:sz w:val="24"/>
          <w:szCs w:val="24"/>
        </w:rPr>
        <w:t>being levied</w:t>
      </w:r>
      <w:r w:rsidR="00231617">
        <w:rPr>
          <w:rFonts w:ascii="Times New Roman" w:eastAsia="Times New Roman" w:hAnsi="Times New Roman" w:cs="Times New Roman"/>
          <w:sz w:val="24"/>
          <w:szCs w:val="24"/>
        </w:rPr>
        <w:t xml:space="preserve">. At the outset we note that the </w:t>
      </w:r>
      <w:r w:rsidRPr="00002883">
        <w:rPr>
          <w:rFonts w:ascii="Times New Roman" w:eastAsia="Times New Roman" w:hAnsi="Times New Roman" w:cs="Times New Roman"/>
          <w:sz w:val="24"/>
          <w:szCs w:val="24"/>
        </w:rPr>
        <w:t xml:space="preserve">General Assembly </w:t>
      </w:r>
      <w:r>
        <w:rPr>
          <w:rFonts w:ascii="Times New Roman" w:eastAsia="Times New Roman" w:hAnsi="Times New Roman" w:cs="Times New Roman"/>
          <w:sz w:val="24"/>
          <w:szCs w:val="24"/>
        </w:rPr>
        <w:t xml:space="preserve">in 1951 </w:t>
      </w:r>
      <w:r w:rsidRPr="00002883">
        <w:rPr>
          <w:rFonts w:ascii="Times New Roman" w:eastAsia="Times New Roman" w:hAnsi="Times New Roman" w:cs="Times New Roman"/>
          <w:sz w:val="24"/>
          <w:szCs w:val="24"/>
        </w:rPr>
        <w:t xml:space="preserve">delegated to Baltimore City the power “to tax to the same extent as the State of Maryland has or could exercise” within the City limits. </w:t>
      </w:r>
      <w:r>
        <w:rPr>
          <w:rFonts w:ascii="Times New Roman" w:eastAsia="Times New Roman" w:hAnsi="Times New Roman" w:cs="Times New Roman"/>
          <w:sz w:val="24"/>
          <w:szCs w:val="24"/>
        </w:rPr>
        <w:t xml:space="preserve">That power is now found in </w:t>
      </w:r>
      <w:r w:rsidRPr="00002883">
        <w:rPr>
          <w:rFonts w:ascii="Times New Roman" w:eastAsia="Times New Roman" w:hAnsi="Times New Roman" w:cs="Times New Roman"/>
          <w:sz w:val="24"/>
          <w:szCs w:val="24"/>
        </w:rPr>
        <w:t>Art</w:t>
      </w:r>
      <w:r>
        <w:rPr>
          <w:rFonts w:ascii="Times New Roman" w:eastAsia="Times New Roman" w:hAnsi="Times New Roman" w:cs="Times New Roman"/>
          <w:sz w:val="24"/>
          <w:szCs w:val="24"/>
        </w:rPr>
        <w:t>icle</w:t>
      </w:r>
      <w:r w:rsidRPr="00002883">
        <w:rPr>
          <w:rFonts w:ascii="Times New Roman" w:eastAsia="Times New Roman" w:hAnsi="Times New Roman" w:cs="Times New Roman"/>
          <w:sz w:val="24"/>
          <w:szCs w:val="24"/>
        </w:rPr>
        <w:t xml:space="preserve">. II </w:t>
      </w:r>
      <w:bookmarkStart w:id="0" w:name="_Hlk54696277"/>
      <w:r w:rsidRPr="00002883">
        <w:rPr>
          <w:rFonts w:ascii="Times New Roman" w:eastAsia="Times New Roman" w:hAnsi="Times New Roman" w:cs="Times New Roman"/>
          <w:sz w:val="24"/>
          <w:szCs w:val="24"/>
        </w:rPr>
        <w:t>§</w:t>
      </w:r>
      <w:bookmarkEnd w:id="0"/>
      <w:r w:rsidRPr="00002883">
        <w:rPr>
          <w:rFonts w:ascii="Times New Roman" w:eastAsia="Times New Roman" w:hAnsi="Times New Roman" w:cs="Times New Roman"/>
          <w:sz w:val="24"/>
          <w:szCs w:val="24"/>
        </w:rPr>
        <w:t xml:space="preserve"> 40(a)</w:t>
      </w:r>
      <w:r>
        <w:rPr>
          <w:rFonts w:ascii="Times New Roman" w:eastAsia="Times New Roman" w:hAnsi="Times New Roman" w:cs="Times New Roman"/>
          <w:sz w:val="24"/>
          <w:szCs w:val="24"/>
        </w:rPr>
        <w:t xml:space="preserve"> of the City Charter. </w:t>
      </w:r>
      <w:r w:rsidRPr="00002883">
        <w:rPr>
          <w:rFonts w:ascii="Times New Roman" w:eastAsia="Times New Roman" w:hAnsi="Times New Roman" w:cs="Times New Roman"/>
          <w:i/>
          <w:sz w:val="24"/>
          <w:szCs w:val="24"/>
        </w:rPr>
        <w:t>State Dep't of Assessments &amp; Taxation v. Bendix Corp</w:t>
      </w:r>
      <w:r w:rsidRPr="00002883">
        <w:rPr>
          <w:rFonts w:ascii="Times New Roman" w:eastAsia="Times New Roman" w:hAnsi="Times New Roman" w:cs="Times New Roman"/>
          <w:sz w:val="24"/>
          <w:szCs w:val="24"/>
        </w:rPr>
        <w:t xml:space="preserve">., 270 Md. 31, 36 (1973)(“The Act of 1951, Chapter 27 was an amendment to the Baltimore City Charter giving the power to the City to tax within the limits of the City to the same extent as the State of Maryland could exercise.”).  </w:t>
      </w:r>
      <w:r w:rsidR="00974481">
        <w:rPr>
          <w:rFonts w:ascii="Times New Roman" w:eastAsia="Times New Roman" w:hAnsi="Times New Roman" w:cs="Times New Roman"/>
          <w:sz w:val="24"/>
          <w:szCs w:val="24"/>
        </w:rPr>
        <w:t>The type of taxes permitted by Article II are deemed “excise taxes.” E</w:t>
      </w:r>
      <w:r w:rsidR="00974481" w:rsidRPr="00974481">
        <w:rPr>
          <w:rFonts w:ascii="Times New Roman" w:eastAsia="Times New Roman" w:hAnsi="Times New Roman" w:cs="Times New Roman"/>
          <w:sz w:val="24"/>
          <w:szCs w:val="24"/>
        </w:rPr>
        <w:t xml:space="preserve">xcises  </w:t>
      </w:r>
    </w:p>
    <w:p w14:paraId="31795A19" w14:textId="77777777" w:rsidR="00974481" w:rsidRPr="00974481" w:rsidRDefault="00974481" w:rsidP="00974481">
      <w:pPr>
        <w:spacing w:after="0" w:line="240" w:lineRule="auto"/>
        <w:ind w:firstLine="540"/>
        <w:jc w:val="both"/>
        <w:rPr>
          <w:rFonts w:ascii="Times New Roman" w:eastAsia="Times New Roman" w:hAnsi="Times New Roman" w:cs="Times New Roman"/>
          <w:sz w:val="24"/>
          <w:szCs w:val="24"/>
        </w:rPr>
      </w:pPr>
    </w:p>
    <w:p w14:paraId="17825065" w14:textId="77777777" w:rsidR="00974481" w:rsidRPr="00974481" w:rsidRDefault="00974481" w:rsidP="00974481">
      <w:pPr>
        <w:spacing w:after="0" w:line="240" w:lineRule="auto"/>
        <w:ind w:left="540"/>
        <w:jc w:val="both"/>
        <w:rPr>
          <w:rFonts w:ascii="Times New Roman" w:eastAsia="Times New Roman" w:hAnsi="Times New Roman" w:cs="Times New Roman"/>
          <w:i/>
          <w:sz w:val="24"/>
          <w:szCs w:val="24"/>
        </w:rPr>
      </w:pPr>
      <w:r w:rsidRPr="00974481">
        <w:rPr>
          <w:rFonts w:ascii="Times New Roman" w:eastAsia="Times New Roman" w:hAnsi="Times New Roman" w:cs="Times New Roman"/>
          <w:i/>
          <w:sz w:val="24"/>
          <w:szCs w:val="24"/>
        </w:rPr>
        <w:t>have been defined as taxes laid upon the manufacture, sale or consumption of commodities within the country, upon licenses to pursue certain occupations, and upon corporate privileges. [citations omitted] Unless a third class of taxes, neither property tax nor excise, is recognized (which except perhaps with respect to federal taxes could serve no useful purpose), it seems convenient to regard excises as including all internal taxes that are not property taxes….</w:t>
      </w:r>
    </w:p>
    <w:p w14:paraId="7D52E7F6" w14:textId="77777777" w:rsidR="00974481" w:rsidRPr="00974481" w:rsidRDefault="00974481" w:rsidP="00974481">
      <w:pPr>
        <w:spacing w:after="0" w:line="240" w:lineRule="auto"/>
        <w:ind w:firstLine="540"/>
        <w:jc w:val="both"/>
        <w:rPr>
          <w:rFonts w:ascii="Times New Roman" w:eastAsia="Times New Roman" w:hAnsi="Times New Roman" w:cs="Times New Roman"/>
          <w:sz w:val="24"/>
          <w:szCs w:val="24"/>
        </w:rPr>
      </w:pPr>
    </w:p>
    <w:p w14:paraId="494322E3" w14:textId="031CAB8B" w:rsidR="002B0DA4" w:rsidRDefault="00974481" w:rsidP="002B0DA4">
      <w:pPr>
        <w:spacing w:after="0" w:line="240" w:lineRule="auto"/>
        <w:jc w:val="both"/>
        <w:rPr>
          <w:rFonts w:ascii="Times New Roman" w:eastAsia="Times New Roman" w:hAnsi="Times New Roman" w:cs="Times New Roman"/>
          <w:sz w:val="24"/>
          <w:szCs w:val="24"/>
        </w:rPr>
      </w:pPr>
      <w:r w:rsidRPr="00974481">
        <w:rPr>
          <w:rFonts w:ascii="Times New Roman" w:eastAsia="Times New Roman" w:hAnsi="Times New Roman" w:cs="Times New Roman"/>
          <w:i/>
          <w:sz w:val="24"/>
          <w:szCs w:val="24"/>
        </w:rPr>
        <w:t>Herman v. Mayor &amp; City Council of Baltimore</w:t>
      </w:r>
      <w:r w:rsidRPr="00974481">
        <w:rPr>
          <w:rFonts w:ascii="Times New Roman" w:eastAsia="Times New Roman" w:hAnsi="Times New Roman" w:cs="Times New Roman"/>
          <w:sz w:val="24"/>
          <w:szCs w:val="24"/>
        </w:rPr>
        <w:t xml:space="preserve">, 189 Md. 191, 197-98 (1947).  </w:t>
      </w:r>
      <w:r>
        <w:rPr>
          <w:rFonts w:ascii="Times New Roman" w:eastAsia="Times New Roman" w:hAnsi="Times New Roman" w:cs="Times New Roman"/>
          <w:sz w:val="24"/>
          <w:szCs w:val="24"/>
        </w:rPr>
        <w:t xml:space="preserve">More succinctly, </w:t>
      </w:r>
      <w:r w:rsidR="001E2A11" w:rsidRPr="001E2A11">
        <w:rPr>
          <w:rFonts w:ascii="Times New Roman" w:eastAsia="Times New Roman" w:hAnsi="Times New Roman" w:cs="Times New Roman"/>
          <w:sz w:val="24"/>
          <w:szCs w:val="24"/>
        </w:rPr>
        <w:t xml:space="preserve">Maryland courts hold that “a tax of the use of property, as distinguished from a tax based on the ownership of property, is in the nature of an excise.” </w:t>
      </w:r>
      <w:r w:rsidR="001E2A11" w:rsidRPr="00974481">
        <w:rPr>
          <w:rFonts w:ascii="Times New Roman" w:eastAsia="Times New Roman" w:hAnsi="Times New Roman" w:cs="Times New Roman"/>
          <w:i/>
          <w:iCs/>
          <w:sz w:val="24"/>
          <w:szCs w:val="24"/>
        </w:rPr>
        <w:t>Weaver v. Prince George's County</w:t>
      </w:r>
      <w:r w:rsidR="001E2A11" w:rsidRPr="001E2A11">
        <w:rPr>
          <w:rFonts w:ascii="Times New Roman" w:eastAsia="Times New Roman" w:hAnsi="Times New Roman" w:cs="Times New Roman"/>
          <w:sz w:val="24"/>
          <w:szCs w:val="24"/>
        </w:rPr>
        <w:t xml:space="preserve">, 281 Md. 349, 358 (1977).  </w:t>
      </w:r>
      <w:r w:rsidR="002B0DA4">
        <w:rPr>
          <w:rFonts w:ascii="Times New Roman" w:eastAsia="Times New Roman" w:hAnsi="Times New Roman" w:cs="Times New Roman"/>
          <w:sz w:val="24"/>
          <w:szCs w:val="24"/>
        </w:rPr>
        <w:t>It is “</w:t>
      </w:r>
      <w:r w:rsidR="002B0DA4" w:rsidRPr="002B0DA4">
        <w:rPr>
          <w:rFonts w:ascii="Times New Roman" w:eastAsia="Times New Roman" w:hAnsi="Times New Roman" w:cs="Times New Roman"/>
          <w:sz w:val="24"/>
          <w:szCs w:val="24"/>
        </w:rPr>
        <w:t>a tax imposed upon the performance of an act, the engaging in an occupation, or the enjoyment of a privilege.</w:t>
      </w:r>
      <w:r w:rsidR="002B0DA4">
        <w:rPr>
          <w:rFonts w:ascii="Times New Roman" w:eastAsia="Times New Roman" w:hAnsi="Times New Roman" w:cs="Times New Roman"/>
          <w:sz w:val="24"/>
          <w:szCs w:val="24"/>
        </w:rPr>
        <w:t xml:space="preserve">” </w:t>
      </w:r>
      <w:r w:rsidR="002B0DA4" w:rsidRPr="002B0DA4">
        <w:rPr>
          <w:rFonts w:ascii="Times New Roman" w:eastAsia="Times New Roman" w:hAnsi="Times New Roman" w:cs="Times New Roman"/>
          <w:i/>
          <w:iCs/>
          <w:sz w:val="24"/>
          <w:szCs w:val="24"/>
        </w:rPr>
        <w:t>Waters Landing Ltd. Partnership v. Montgomery</w:t>
      </w:r>
      <w:r w:rsidR="002B0DA4">
        <w:rPr>
          <w:rFonts w:ascii="Times New Roman" w:eastAsia="Times New Roman" w:hAnsi="Times New Roman" w:cs="Times New Roman"/>
          <w:sz w:val="24"/>
          <w:szCs w:val="24"/>
        </w:rPr>
        <w:t xml:space="preserve">, </w:t>
      </w:r>
      <w:r w:rsidR="002B0DA4" w:rsidRPr="002B0DA4">
        <w:rPr>
          <w:rFonts w:ascii="Times New Roman" w:eastAsia="Times New Roman" w:hAnsi="Times New Roman" w:cs="Times New Roman"/>
          <w:sz w:val="24"/>
          <w:szCs w:val="24"/>
        </w:rPr>
        <w:t>337 Md. 15, 26 (1994)</w:t>
      </w:r>
      <w:r w:rsidR="002B0DA4">
        <w:rPr>
          <w:rFonts w:ascii="Times New Roman" w:eastAsia="Times New Roman" w:hAnsi="Times New Roman" w:cs="Times New Roman"/>
          <w:sz w:val="24"/>
          <w:szCs w:val="24"/>
        </w:rPr>
        <w:t xml:space="preserve">.  </w:t>
      </w:r>
    </w:p>
    <w:p w14:paraId="7DEDB282" w14:textId="22E61C38" w:rsidR="002B0DA4" w:rsidRDefault="002B0DA4" w:rsidP="002B0DA4">
      <w:pPr>
        <w:spacing w:after="0" w:line="240" w:lineRule="auto"/>
        <w:jc w:val="both"/>
        <w:rPr>
          <w:rFonts w:ascii="Times New Roman" w:eastAsia="Times New Roman" w:hAnsi="Times New Roman" w:cs="Times New Roman"/>
          <w:sz w:val="24"/>
          <w:szCs w:val="24"/>
        </w:rPr>
      </w:pPr>
    </w:p>
    <w:p w14:paraId="2BA7CFF7" w14:textId="6B167936" w:rsidR="0057233E" w:rsidRDefault="002B0DA4" w:rsidP="002B0DA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r>
      <w:r w:rsidR="00C12D55">
        <w:rPr>
          <w:rFonts w:ascii="Times New Roman" w:eastAsia="Times New Roman" w:hAnsi="Times New Roman" w:cs="Times New Roman"/>
          <w:sz w:val="24"/>
          <w:szCs w:val="24"/>
        </w:rPr>
        <w:t>An e</w:t>
      </w:r>
      <w:r>
        <w:rPr>
          <w:rFonts w:ascii="Times New Roman" w:eastAsia="Times New Roman" w:hAnsi="Times New Roman" w:cs="Times New Roman"/>
          <w:sz w:val="24"/>
          <w:szCs w:val="24"/>
        </w:rPr>
        <w:t xml:space="preserve">xcise tax must also be distinguished from a sales tax. </w:t>
      </w:r>
      <w:r w:rsidR="0057233E">
        <w:rPr>
          <w:rFonts w:ascii="Times New Roman" w:eastAsia="Times New Roman" w:hAnsi="Times New Roman" w:cs="Times New Roman"/>
          <w:sz w:val="24"/>
          <w:szCs w:val="24"/>
        </w:rPr>
        <w:t xml:space="preserve">“A </w:t>
      </w:r>
      <w:r w:rsidR="0057233E" w:rsidRPr="0057233E">
        <w:rPr>
          <w:rFonts w:ascii="Times New Roman" w:eastAsia="Times New Roman" w:hAnsi="Times New Roman" w:cs="Times New Roman"/>
          <w:sz w:val="24"/>
          <w:szCs w:val="24"/>
        </w:rPr>
        <w:t>sales tax is imposed upon the occurrence of an event, a purchase</w:t>
      </w:r>
      <w:r w:rsidR="00C12D55">
        <w:rPr>
          <w:rFonts w:ascii="Times New Roman" w:eastAsia="Times New Roman" w:hAnsi="Times New Roman" w:cs="Times New Roman"/>
          <w:sz w:val="24"/>
          <w:szCs w:val="24"/>
        </w:rPr>
        <w:t>…</w:t>
      </w:r>
      <w:r w:rsidR="0057233E" w:rsidRPr="0057233E">
        <w:rPr>
          <w:rFonts w:ascii="Times New Roman" w:eastAsia="Times New Roman" w:hAnsi="Times New Roman" w:cs="Times New Roman"/>
          <w:sz w:val="24"/>
          <w:szCs w:val="24"/>
        </w:rPr>
        <w:t>The tax is imposed upon the purchaser, upon the act of selling</w:t>
      </w:r>
      <w:r w:rsidR="0057233E">
        <w:rPr>
          <w:rFonts w:ascii="Times New Roman" w:eastAsia="Times New Roman" w:hAnsi="Times New Roman" w:cs="Times New Roman"/>
          <w:sz w:val="24"/>
          <w:szCs w:val="24"/>
        </w:rPr>
        <w:t xml:space="preserve">.” </w:t>
      </w:r>
      <w:r w:rsidR="0057233E" w:rsidRPr="0057233E">
        <w:rPr>
          <w:rFonts w:ascii="Times New Roman" w:eastAsia="Times New Roman" w:hAnsi="Times New Roman" w:cs="Times New Roman"/>
          <w:i/>
          <w:iCs/>
          <w:sz w:val="24"/>
          <w:szCs w:val="24"/>
        </w:rPr>
        <w:t>Central Credit Union v. Comptroller of Treasury</w:t>
      </w:r>
      <w:r w:rsidR="0057233E" w:rsidRPr="0057233E">
        <w:rPr>
          <w:rFonts w:ascii="Times New Roman" w:eastAsia="Times New Roman" w:hAnsi="Times New Roman" w:cs="Times New Roman"/>
          <w:sz w:val="24"/>
          <w:szCs w:val="24"/>
        </w:rPr>
        <w:t>, 243 Md. 175, 183 (1966)</w:t>
      </w:r>
      <w:r w:rsidR="0057233E">
        <w:rPr>
          <w:rFonts w:ascii="Times New Roman" w:eastAsia="Times New Roman" w:hAnsi="Times New Roman" w:cs="Times New Roman"/>
          <w:sz w:val="24"/>
          <w:szCs w:val="24"/>
        </w:rPr>
        <w:t xml:space="preserve">.  </w:t>
      </w:r>
      <w:r w:rsidR="00C12D55" w:rsidRPr="00C12D55">
        <w:rPr>
          <w:rFonts w:ascii="Times New Roman" w:eastAsia="Times New Roman" w:hAnsi="Times New Roman" w:cs="Times New Roman"/>
          <w:sz w:val="24"/>
          <w:szCs w:val="24"/>
        </w:rPr>
        <w:t xml:space="preserve">Furthermore, a sales tax is collected from the final purchaser. </w:t>
      </w:r>
      <w:r w:rsidR="00C12D55" w:rsidRPr="00C12D55">
        <w:rPr>
          <w:rFonts w:ascii="Times New Roman" w:eastAsia="Times New Roman" w:hAnsi="Times New Roman" w:cs="Times New Roman"/>
          <w:i/>
          <w:iCs/>
          <w:sz w:val="24"/>
          <w:szCs w:val="24"/>
        </w:rPr>
        <w:t>Comptroller of Treasury v. Martin G. Imbach</w:t>
      </w:r>
      <w:r w:rsidR="00C12D55" w:rsidRPr="00C12D55">
        <w:rPr>
          <w:rFonts w:ascii="Times New Roman" w:eastAsia="Times New Roman" w:hAnsi="Times New Roman" w:cs="Times New Roman"/>
          <w:sz w:val="24"/>
          <w:szCs w:val="24"/>
        </w:rPr>
        <w:t xml:space="preserve">, Inc., 101 Md. App. 138, 141 (1994) (“The sales and use tax provisions were enacted to assure that the State collects tax from the final purchaser”). </w:t>
      </w:r>
      <w:r w:rsidR="00C12D55">
        <w:rPr>
          <w:rFonts w:ascii="Times New Roman" w:eastAsia="Times New Roman" w:hAnsi="Times New Roman" w:cs="Times New Roman"/>
          <w:sz w:val="24"/>
          <w:szCs w:val="24"/>
        </w:rPr>
        <w:t xml:space="preserve"> </w:t>
      </w:r>
      <w:r w:rsidR="002B5EBA" w:rsidRPr="002B5EBA">
        <w:rPr>
          <w:rFonts w:ascii="Times New Roman" w:eastAsia="Times New Roman" w:hAnsi="Times New Roman" w:cs="Times New Roman"/>
          <w:i/>
          <w:iCs/>
          <w:sz w:val="24"/>
          <w:szCs w:val="24"/>
        </w:rPr>
        <w:t xml:space="preserve">See also </w:t>
      </w:r>
      <w:r w:rsidR="002B5EBA" w:rsidRPr="002B5EBA">
        <w:rPr>
          <w:rFonts w:ascii="Times New Roman" w:eastAsia="Times New Roman" w:hAnsi="Times New Roman" w:cs="Times New Roman"/>
          <w:i/>
          <w:iCs/>
          <w:sz w:val="24"/>
          <w:szCs w:val="24"/>
        </w:rPr>
        <w:t>Montgomery County v. Md. Soft Drink Ass’n., Inc</w:t>
      </w:r>
      <w:r w:rsidR="002B5EBA" w:rsidRPr="002B5EBA">
        <w:rPr>
          <w:rFonts w:ascii="Times New Roman" w:eastAsia="Times New Roman" w:hAnsi="Times New Roman" w:cs="Times New Roman"/>
          <w:sz w:val="24"/>
          <w:szCs w:val="24"/>
        </w:rPr>
        <w:t>., 281 Md. 116, 126 (1977). (“sales taxes are measured by the purchase price or consideration paid for the items”).</w:t>
      </w:r>
      <w:r w:rsidR="002B5EBA">
        <w:rPr>
          <w:rFonts w:ascii="Times New Roman" w:eastAsia="Times New Roman" w:hAnsi="Times New Roman" w:cs="Times New Roman"/>
          <w:sz w:val="24"/>
          <w:szCs w:val="24"/>
        </w:rPr>
        <w:t xml:space="preserve"> </w:t>
      </w:r>
      <w:r w:rsidR="0057233E" w:rsidRPr="0057233E">
        <w:rPr>
          <w:rFonts w:ascii="Times New Roman" w:eastAsia="Times New Roman" w:hAnsi="Times New Roman" w:cs="Times New Roman"/>
          <w:sz w:val="24"/>
          <w:szCs w:val="24"/>
        </w:rPr>
        <w:t xml:space="preserve">In contrast, as noted </w:t>
      </w:r>
      <w:r w:rsidR="00C12D55">
        <w:rPr>
          <w:rFonts w:ascii="Times New Roman" w:eastAsia="Times New Roman" w:hAnsi="Times New Roman" w:cs="Times New Roman"/>
          <w:sz w:val="24"/>
          <w:szCs w:val="24"/>
        </w:rPr>
        <w:t xml:space="preserve">above, </w:t>
      </w:r>
      <w:r w:rsidR="0057233E" w:rsidRPr="0057233E">
        <w:rPr>
          <w:rFonts w:ascii="Times New Roman" w:eastAsia="Times New Roman" w:hAnsi="Times New Roman" w:cs="Times New Roman"/>
          <w:sz w:val="24"/>
          <w:szCs w:val="24"/>
        </w:rPr>
        <w:t>an excise tax is based on the use of property, not the ownership of the property</w:t>
      </w:r>
      <w:r w:rsidR="00C12D55">
        <w:rPr>
          <w:rFonts w:ascii="Times New Roman" w:eastAsia="Times New Roman" w:hAnsi="Times New Roman" w:cs="Times New Roman"/>
          <w:sz w:val="24"/>
          <w:szCs w:val="24"/>
        </w:rPr>
        <w:t xml:space="preserve"> or on </w:t>
      </w:r>
      <w:r w:rsidR="00BB67E5">
        <w:rPr>
          <w:rFonts w:ascii="Times New Roman" w:eastAsia="Times New Roman" w:hAnsi="Times New Roman" w:cs="Times New Roman"/>
          <w:sz w:val="24"/>
          <w:szCs w:val="24"/>
        </w:rPr>
        <w:t xml:space="preserve">the price paid by the final purchaser. </w:t>
      </w:r>
    </w:p>
    <w:p w14:paraId="71AC180F" w14:textId="7223FE78" w:rsidR="002B5EBA" w:rsidRDefault="002B5EBA" w:rsidP="002B0DA4">
      <w:pPr>
        <w:spacing w:after="0" w:line="240" w:lineRule="auto"/>
        <w:jc w:val="both"/>
        <w:rPr>
          <w:rFonts w:ascii="Times New Roman" w:eastAsia="Times New Roman" w:hAnsi="Times New Roman" w:cs="Times New Roman"/>
          <w:sz w:val="24"/>
          <w:szCs w:val="24"/>
        </w:rPr>
      </w:pPr>
    </w:p>
    <w:p w14:paraId="2F8B9954" w14:textId="1F804760" w:rsidR="002B5EBA" w:rsidRDefault="002B5EBA" w:rsidP="00331FD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Given the above </w:t>
      </w:r>
      <w:r w:rsidR="00D94101">
        <w:rPr>
          <w:rFonts w:ascii="Times New Roman" w:eastAsia="Times New Roman" w:hAnsi="Times New Roman" w:cs="Times New Roman"/>
          <w:sz w:val="24"/>
          <w:szCs w:val="24"/>
        </w:rPr>
        <w:t>criteria for distinguishing an excise tax from</w:t>
      </w:r>
      <w:r w:rsidR="005B7057">
        <w:rPr>
          <w:rFonts w:ascii="Times New Roman" w:eastAsia="Times New Roman" w:hAnsi="Times New Roman" w:cs="Times New Roman"/>
          <w:sz w:val="24"/>
          <w:szCs w:val="24"/>
        </w:rPr>
        <w:t xml:space="preserve"> both</w:t>
      </w:r>
      <w:r w:rsidR="00D94101">
        <w:rPr>
          <w:rFonts w:ascii="Times New Roman" w:eastAsia="Times New Roman" w:hAnsi="Times New Roman" w:cs="Times New Roman"/>
          <w:sz w:val="24"/>
          <w:szCs w:val="24"/>
        </w:rPr>
        <w:t xml:space="preserve"> a property</w:t>
      </w:r>
      <w:r w:rsidR="00BB67E5">
        <w:rPr>
          <w:rFonts w:ascii="Times New Roman" w:eastAsia="Times New Roman" w:hAnsi="Times New Roman" w:cs="Times New Roman"/>
          <w:sz w:val="24"/>
          <w:szCs w:val="24"/>
        </w:rPr>
        <w:t xml:space="preserve"> tax and a sales</w:t>
      </w:r>
      <w:r w:rsidR="00D94101">
        <w:rPr>
          <w:rFonts w:ascii="Times New Roman" w:eastAsia="Times New Roman" w:hAnsi="Times New Roman" w:cs="Times New Roman"/>
          <w:sz w:val="24"/>
          <w:szCs w:val="24"/>
        </w:rPr>
        <w:t xml:space="preserve"> tax</w:t>
      </w:r>
      <w:r>
        <w:rPr>
          <w:rFonts w:ascii="Times New Roman" w:eastAsia="Times New Roman" w:hAnsi="Times New Roman" w:cs="Times New Roman"/>
          <w:sz w:val="24"/>
          <w:szCs w:val="24"/>
        </w:rPr>
        <w:t xml:space="preserve">, </w:t>
      </w:r>
      <w:r w:rsidR="00D94101">
        <w:rPr>
          <w:rFonts w:ascii="Times New Roman" w:eastAsia="Times New Roman" w:hAnsi="Times New Roman" w:cs="Times New Roman"/>
          <w:sz w:val="24"/>
          <w:szCs w:val="24"/>
        </w:rPr>
        <w:t xml:space="preserve">the Law Department </w:t>
      </w:r>
      <w:r w:rsidR="002634B3">
        <w:rPr>
          <w:rFonts w:ascii="Times New Roman" w:eastAsia="Times New Roman" w:hAnsi="Times New Roman" w:cs="Times New Roman"/>
          <w:sz w:val="24"/>
          <w:szCs w:val="24"/>
        </w:rPr>
        <w:t xml:space="preserve">concludes </w:t>
      </w:r>
      <w:r>
        <w:rPr>
          <w:rFonts w:ascii="Times New Roman" w:eastAsia="Times New Roman" w:hAnsi="Times New Roman" w:cs="Times New Roman"/>
          <w:sz w:val="24"/>
          <w:szCs w:val="24"/>
        </w:rPr>
        <w:t xml:space="preserve">that </w:t>
      </w:r>
      <w:r w:rsidRPr="002B5EBA">
        <w:rPr>
          <w:rFonts w:ascii="Times New Roman" w:eastAsia="Times New Roman" w:hAnsi="Times New Roman" w:cs="Times New Roman"/>
          <w:sz w:val="24"/>
          <w:szCs w:val="24"/>
        </w:rPr>
        <w:t>Council Bill 20-0631</w:t>
      </w:r>
      <w:r>
        <w:rPr>
          <w:rFonts w:ascii="Times New Roman" w:eastAsia="Times New Roman" w:hAnsi="Times New Roman" w:cs="Times New Roman"/>
          <w:sz w:val="24"/>
          <w:szCs w:val="24"/>
        </w:rPr>
        <w:t xml:space="preserve"> meets the legal standards required of an excise tax. The tax is levied on the use of property</w:t>
      </w:r>
      <w:r w:rsidR="005B7057">
        <w:rPr>
          <w:rFonts w:ascii="Times New Roman" w:eastAsia="Times New Roman" w:hAnsi="Times New Roman" w:cs="Times New Roman"/>
          <w:sz w:val="24"/>
          <w:szCs w:val="24"/>
        </w:rPr>
        <w:t xml:space="preserve"> or on engaging in an occupation, </w:t>
      </w:r>
      <w:r>
        <w:rPr>
          <w:rFonts w:ascii="Times New Roman" w:eastAsia="Times New Roman" w:hAnsi="Times New Roman" w:cs="Times New Roman"/>
          <w:sz w:val="24"/>
          <w:szCs w:val="24"/>
        </w:rPr>
        <w:t xml:space="preserve">i.e., on the act of distributing </w:t>
      </w:r>
      <w:r w:rsidRPr="002B5EBA">
        <w:rPr>
          <w:rFonts w:ascii="Times New Roman" w:eastAsia="Times New Roman" w:hAnsi="Times New Roman" w:cs="Times New Roman"/>
          <w:sz w:val="24"/>
          <w:szCs w:val="24"/>
        </w:rPr>
        <w:t>electronic smoking devices</w:t>
      </w:r>
      <w:r w:rsidR="005B7057">
        <w:rPr>
          <w:rFonts w:ascii="Times New Roman" w:eastAsia="Times New Roman" w:hAnsi="Times New Roman" w:cs="Times New Roman"/>
          <w:sz w:val="24"/>
          <w:szCs w:val="24"/>
        </w:rPr>
        <w:t xml:space="preserve"> or on transporting them into the City</w:t>
      </w:r>
      <w:r w:rsidR="00B521FE">
        <w:rPr>
          <w:rFonts w:ascii="Times New Roman" w:eastAsia="Times New Roman" w:hAnsi="Times New Roman" w:cs="Times New Roman"/>
          <w:sz w:val="24"/>
          <w:szCs w:val="24"/>
        </w:rPr>
        <w:t>,</w:t>
      </w:r>
      <w:r w:rsidRPr="002B5EB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and not on the mere fact of owning the property. Furthermore, the tax is levied on th</w:t>
      </w:r>
      <w:r w:rsidR="00B521FE">
        <w:rPr>
          <w:rFonts w:ascii="Times New Roman" w:eastAsia="Times New Roman" w:hAnsi="Times New Roman" w:cs="Times New Roman"/>
          <w:sz w:val="24"/>
          <w:szCs w:val="24"/>
        </w:rPr>
        <w:t xml:space="preserve">e distributor </w:t>
      </w:r>
      <w:r w:rsidR="005B7057">
        <w:rPr>
          <w:rFonts w:ascii="Times New Roman" w:eastAsia="Times New Roman" w:hAnsi="Times New Roman" w:cs="Times New Roman"/>
          <w:sz w:val="24"/>
          <w:szCs w:val="24"/>
        </w:rPr>
        <w:t xml:space="preserve">or a dealer </w:t>
      </w:r>
      <w:r w:rsidR="00B521FE">
        <w:rPr>
          <w:rFonts w:ascii="Times New Roman" w:eastAsia="Times New Roman" w:hAnsi="Times New Roman" w:cs="Times New Roman"/>
          <w:sz w:val="24"/>
          <w:szCs w:val="24"/>
        </w:rPr>
        <w:t>of the property</w:t>
      </w:r>
      <w:r w:rsidR="005B7057">
        <w:rPr>
          <w:rFonts w:ascii="Times New Roman" w:eastAsia="Times New Roman" w:hAnsi="Times New Roman" w:cs="Times New Roman"/>
          <w:sz w:val="24"/>
          <w:szCs w:val="24"/>
        </w:rPr>
        <w:t xml:space="preserve">, </w:t>
      </w:r>
      <w:r w:rsidR="00B521FE">
        <w:rPr>
          <w:rFonts w:ascii="Times New Roman" w:eastAsia="Times New Roman" w:hAnsi="Times New Roman" w:cs="Times New Roman"/>
          <w:sz w:val="24"/>
          <w:szCs w:val="24"/>
        </w:rPr>
        <w:t>and not on the final purchaser of the property</w:t>
      </w:r>
      <w:r w:rsidR="00BB67E5">
        <w:rPr>
          <w:rFonts w:ascii="Times New Roman" w:eastAsia="Times New Roman" w:hAnsi="Times New Roman" w:cs="Times New Roman"/>
          <w:sz w:val="24"/>
          <w:szCs w:val="24"/>
        </w:rPr>
        <w:t xml:space="preserve">. In these ways the tax authorized by this legislation is distinguished from </w:t>
      </w:r>
      <w:r w:rsidR="005B7057">
        <w:rPr>
          <w:rFonts w:ascii="Times New Roman" w:eastAsia="Times New Roman" w:hAnsi="Times New Roman" w:cs="Times New Roman"/>
          <w:sz w:val="24"/>
          <w:szCs w:val="24"/>
        </w:rPr>
        <w:t xml:space="preserve">a tax on </w:t>
      </w:r>
      <w:r w:rsidR="00BB67E5">
        <w:rPr>
          <w:rFonts w:ascii="Times New Roman" w:eastAsia="Times New Roman" w:hAnsi="Times New Roman" w:cs="Times New Roman"/>
          <w:sz w:val="24"/>
          <w:szCs w:val="24"/>
        </w:rPr>
        <w:t xml:space="preserve">property or </w:t>
      </w:r>
      <w:r w:rsidR="005B7057">
        <w:rPr>
          <w:rFonts w:ascii="Times New Roman" w:eastAsia="Times New Roman" w:hAnsi="Times New Roman" w:cs="Times New Roman"/>
          <w:sz w:val="24"/>
          <w:szCs w:val="24"/>
        </w:rPr>
        <w:t xml:space="preserve">on </w:t>
      </w:r>
      <w:r w:rsidR="00BB67E5">
        <w:rPr>
          <w:rFonts w:ascii="Times New Roman" w:eastAsia="Times New Roman" w:hAnsi="Times New Roman" w:cs="Times New Roman"/>
          <w:sz w:val="24"/>
          <w:szCs w:val="24"/>
        </w:rPr>
        <w:t xml:space="preserve">sales. It is an excise tax. The authority to enact an excise tax is well within the scope of the legislative powers delegated to the Mayor and City Council of Baltimore by the Maryland General Assembly.  </w:t>
      </w:r>
    </w:p>
    <w:p w14:paraId="449C9056" w14:textId="77777777" w:rsidR="002B5EBA" w:rsidRDefault="002B5EBA" w:rsidP="00331FD4">
      <w:pPr>
        <w:spacing w:after="0" w:line="240" w:lineRule="auto"/>
        <w:jc w:val="both"/>
        <w:rPr>
          <w:rFonts w:ascii="Times New Roman" w:eastAsia="Times New Roman" w:hAnsi="Times New Roman" w:cs="Times New Roman"/>
          <w:sz w:val="24"/>
          <w:szCs w:val="24"/>
        </w:rPr>
      </w:pPr>
    </w:p>
    <w:p w14:paraId="4E7183AE" w14:textId="3ADD7D61" w:rsidR="008A40E3" w:rsidRDefault="00B521FE" w:rsidP="00600945">
      <w:pPr>
        <w:jc w:val="both"/>
        <w:rPr>
          <w:rFonts w:ascii="Times New Roman" w:hAnsi="Times New Roman" w:cs="Times New Roman"/>
          <w:sz w:val="24"/>
          <w:szCs w:val="24"/>
        </w:rPr>
      </w:pPr>
      <w:r>
        <w:rPr>
          <w:rFonts w:ascii="Times New Roman" w:eastAsia="Times New Roman" w:hAnsi="Times New Roman" w:cs="Times New Roman"/>
          <w:sz w:val="24"/>
          <w:szCs w:val="24"/>
        </w:rPr>
        <w:tab/>
        <w:t>The Law Department is prepared to approve the bill for form an</w:t>
      </w:r>
      <w:r w:rsidR="00BB67E5">
        <w:rPr>
          <w:rFonts w:ascii="Times New Roman" w:eastAsia="Times New Roman" w:hAnsi="Times New Roman" w:cs="Times New Roman"/>
          <w:sz w:val="24"/>
          <w:szCs w:val="24"/>
        </w:rPr>
        <w:t>d</w:t>
      </w:r>
      <w:r>
        <w:rPr>
          <w:rFonts w:ascii="Times New Roman" w:eastAsia="Times New Roman" w:hAnsi="Times New Roman" w:cs="Times New Roman"/>
          <w:sz w:val="24"/>
          <w:szCs w:val="24"/>
        </w:rPr>
        <w:t xml:space="preserve"> legal sufficiency as drafted. </w:t>
      </w:r>
    </w:p>
    <w:p w14:paraId="650AF972" w14:textId="71106526" w:rsidR="006E7D4F" w:rsidRDefault="006E7D4F" w:rsidP="006E7D4F">
      <w:pPr>
        <w:tabs>
          <w:tab w:val="center" w:pos="4320"/>
          <w:tab w:val="left" w:pos="4860"/>
          <w:tab w:val="right" w:pos="8640"/>
        </w:tabs>
        <w:spacing w:after="0" w:line="240" w:lineRule="auto"/>
        <w:rPr>
          <w:rFonts w:ascii="Times New Roman" w:eastAsia="Times New Roman" w:hAnsi="Times New Roman" w:cs="Times New Roman"/>
          <w:sz w:val="24"/>
          <w:szCs w:val="24"/>
        </w:rPr>
      </w:pPr>
    </w:p>
    <w:p w14:paraId="56AECCB0" w14:textId="77777777" w:rsidR="005D5EEA" w:rsidRPr="005D5EEA" w:rsidRDefault="005D5EEA" w:rsidP="005D5EEA">
      <w:pPr>
        <w:tabs>
          <w:tab w:val="center" w:pos="4320"/>
          <w:tab w:val="left" w:pos="4860"/>
          <w:tab w:val="right" w:pos="8640"/>
        </w:tabs>
        <w:spacing w:after="0" w:line="240" w:lineRule="auto"/>
        <w:ind w:left="3600"/>
        <w:rPr>
          <w:rFonts w:ascii="Times New Roman" w:eastAsia="Times New Roman" w:hAnsi="Times New Roman" w:cs="Times New Roman"/>
          <w:sz w:val="24"/>
          <w:szCs w:val="24"/>
        </w:rPr>
      </w:pPr>
      <w:r w:rsidRPr="005D5EEA">
        <w:rPr>
          <w:rFonts w:ascii="Times New Roman" w:eastAsia="Times New Roman" w:hAnsi="Times New Roman" w:cs="Times New Roman"/>
          <w:sz w:val="24"/>
          <w:szCs w:val="24"/>
        </w:rPr>
        <w:t>Sincerely,</w:t>
      </w:r>
    </w:p>
    <w:p w14:paraId="0AEF6D3C" w14:textId="77777777" w:rsidR="005D5EEA" w:rsidRDefault="005D5EEA" w:rsidP="005D5EEA">
      <w:pPr>
        <w:tabs>
          <w:tab w:val="center" w:pos="4320"/>
          <w:tab w:val="left" w:pos="4860"/>
          <w:tab w:val="right" w:pos="8640"/>
        </w:tabs>
        <w:spacing w:after="0" w:line="240" w:lineRule="auto"/>
        <w:ind w:left="3600"/>
        <w:rPr>
          <w:rFonts w:ascii="Times New Roman" w:eastAsia="Times New Roman" w:hAnsi="Times New Roman" w:cs="Times New Roman"/>
          <w:sz w:val="24"/>
          <w:szCs w:val="24"/>
        </w:rPr>
      </w:pPr>
    </w:p>
    <w:p w14:paraId="1E3E3C7D" w14:textId="77777777" w:rsidR="005D5EEA" w:rsidRDefault="00D86A77" w:rsidP="005D5EEA">
      <w:pPr>
        <w:tabs>
          <w:tab w:val="center" w:pos="4320"/>
          <w:tab w:val="left" w:pos="4860"/>
          <w:tab w:val="right" w:pos="8640"/>
        </w:tabs>
        <w:spacing w:after="0" w:line="240" w:lineRule="auto"/>
        <w:ind w:left="3600"/>
        <w:rPr>
          <w:rFonts w:ascii="Times New Roman" w:eastAsia="Times New Roman" w:hAnsi="Times New Roman" w:cs="Times New Roman"/>
          <w:sz w:val="24"/>
          <w:szCs w:val="24"/>
        </w:rPr>
      </w:pPr>
      <w:r>
        <w:rPr>
          <w:noProof/>
        </w:rPr>
        <w:drawing>
          <wp:inline distT="0" distB="0" distL="0" distR="0" wp14:anchorId="62B5DF57" wp14:editId="7645F6DA">
            <wp:extent cx="2314286" cy="457143"/>
            <wp:effectExtent l="0" t="0" r="0" b="635"/>
            <wp:docPr id="5" name="Picture 4">
              <a:extLst xmlns:a="http://schemas.openxmlformats.org/drawingml/2006/main">
                <a:ext uri="{FF2B5EF4-FFF2-40B4-BE49-F238E27FC236}">
                  <a16:creationId xmlns:a16="http://schemas.microsoft.com/office/drawing/2014/main" id="{00000000-0008-0000-0000-000005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00000000-0008-0000-0000-000005000000}"/>
                        </a:ext>
                      </a:extLst>
                    </pic:cNvPr>
                    <pic:cNvPicPr>
                      <a:picLocks noChangeAspect="1"/>
                    </pic:cNvPicPr>
                  </pic:nvPicPr>
                  <pic:blipFill>
                    <a:blip r:embed="rId6"/>
                    <a:stretch>
                      <a:fillRect/>
                    </a:stretch>
                  </pic:blipFill>
                  <pic:spPr>
                    <a:xfrm>
                      <a:off x="0" y="0"/>
                      <a:ext cx="2314286" cy="457143"/>
                    </a:xfrm>
                    <a:prstGeom prst="rect">
                      <a:avLst/>
                    </a:prstGeom>
                  </pic:spPr>
                </pic:pic>
              </a:graphicData>
            </a:graphic>
          </wp:inline>
        </w:drawing>
      </w:r>
    </w:p>
    <w:p w14:paraId="17306FF5" w14:textId="77777777" w:rsidR="005D5EEA" w:rsidRPr="005D5EEA" w:rsidRDefault="005D5EEA" w:rsidP="005D5EEA">
      <w:pPr>
        <w:tabs>
          <w:tab w:val="center" w:pos="4320"/>
          <w:tab w:val="left" w:pos="4860"/>
          <w:tab w:val="right" w:pos="8640"/>
        </w:tabs>
        <w:spacing w:after="0" w:line="240" w:lineRule="auto"/>
        <w:ind w:left="3600"/>
        <w:rPr>
          <w:rFonts w:ascii="Times New Roman" w:eastAsia="Times New Roman" w:hAnsi="Times New Roman" w:cs="Times New Roman"/>
          <w:sz w:val="24"/>
          <w:szCs w:val="24"/>
        </w:rPr>
      </w:pPr>
      <w:r w:rsidRPr="005D5EEA">
        <w:rPr>
          <w:rFonts w:ascii="Times New Roman" w:eastAsia="Times New Roman" w:hAnsi="Times New Roman" w:cs="Times New Roman"/>
          <w:sz w:val="24"/>
          <w:szCs w:val="24"/>
        </w:rPr>
        <w:t>Victor K. Tervala</w:t>
      </w:r>
    </w:p>
    <w:p w14:paraId="3843B9A9" w14:textId="77777777" w:rsidR="005D5EEA" w:rsidRPr="005D5EEA" w:rsidRDefault="005D5EEA" w:rsidP="005D5EEA">
      <w:pPr>
        <w:tabs>
          <w:tab w:val="center" w:pos="4320"/>
          <w:tab w:val="left" w:pos="4860"/>
          <w:tab w:val="right" w:pos="8640"/>
        </w:tabs>
        <w:spacing w:after="0" w:line="240" w:lineRule="auto"/>
        <w:ind w:left="3600"/>
        <w:rPr>
          <w:rFonts w:ascii="Times New Roman" w:eastAsia="Times New Roman" w:hAnsi="Times New Roman" w:cs="Times New Roman"/>
          <w:sz w:val="24"/>
          <w:szCs w:val="24"/>
        </w:rPr>
      </w:pPr>
      <w:r w:rsidRPr="005D5EEA">
        <w:rPr>
          <w:rFonts w:ascii="Times New Roman" w:eastAsia="Times New Roman" w:hAnsi="Times New Roman" w:cs="Times New Roman"/>
          <w:sz w:val="24"/>
          <w:szCs w:val="24"/>
        </w:rPr>
        <w:t>Chief Solicitor</w:t>
      </w:r>
    </w:p>
    <w:p w14:paraId="19364FF4" w14:textId="77777777" w:rsidR="005D5EEA" w:rsidRPr="005D5EEA" w:rsidRDefault="005D5EEA" w:rsidP="005D5EEA">
      <w:pPr>
        <w:tabs>
          <w:tab w:val="center" w:pos="4320"/>
          <w:tab w:val="left" w:pos="4860"/>
          <w:tab w:val="right" w:pos="8640"/>
        </w:tabs>
        <w:spacing w:after="0" w:line="240" w:lineRule="auto"/>
        <w:ind w:left="3600"/>
        <w:rPr>
          <w:rFonts w:ascii="Times New Roman" w:eastAsia="Times New Roman" w:hAnsi="Times New Roman" w:cs="Times New Roman"/>
          <w:sz w:val="24"/>
          <w:szCs w:val="24"/>
        </w:rPr>
      </w:pPr>
    </w:p>
    <w:p w14:paraId="53A60906" w14:textId="77777777" w:rsidR="005D5EEA" w:rsidRDefault="005D5EEA" w:rsidP="005D5EEA">
      <w:pPr>
        <w:tabs>
          <w:tab w:val="left" w:pos="720"/>
        </w:tabs>
        <w:spacing w:after="0" w:line="240" w:lineRule="auto"/>
        <w:jc w:val="both"/>
        <w:rPr>
          <w:rFonts w:ascii="Times New Roman" w:eastAsia="Times New Roman" w:hAnsi="Times New Roman" w:cs="Times New Roman"/>
          <w:sz w:val="24"/>
          <w:szCs w:val="24"/>
        </w:rPr>
      </w:pPr>
    </w:p>
    <w:p w14:paraId="23B50CAA" w14:textId="77777777" w:rsidR="005D5EEA" w:rsidRPr="005D5EEA" w:rsidRDefault="005D5EEA" w:rsidP="005D5EEA">
      <w:pPr>
        <w:tabs>
          <w:tab w:val="left" w:pos="720"/>
        </w:tabs>
        <w:spacing w:after="0" w:line="240" w:lineRule="auto"/>
        <w:jc w:val="both"/>
        <w:rPr>
          <w:rFonts w:ascii="Times New Roman" w:eastAsia="Times New Roman" w:hAnsi="Times New Roman" w:cs="Times New Roman"/>
          <w:sz w:val="24"/>
          <w:szCs w:val="24"/>
        </w:rPr>
      </w:pPr>
      <w:r w:rsidRPr="005D5EEA">
        <w:rPr>
          <w:rFonts w:ascii="Times New Roman" w:eastAsia="Times New Roman" w:hAnsi="Times New Roman" w:cs="Times New Roman"/>
          <w:sz w:val="24"/>
          <w:szCs w:val="24"/>
        </w:rPr>
        <w:t xml:space="preserve">cc:  </w:t>
      </w:r>
      <w:r w:rsidRPr="005D5EEA">
        <w:rPr>
          <w:rFonts w:ascii="Times New Roman" w:eastAsia="Times New Roman" w:hAnsi="Times New Roman" w:cs="Times New Roman"/>
          <w:sz w:val="24"/>
          <w:szCs w:val="24"/>
        </w:rPr>
        <w:tab/>
        <w:t xml:space="preserve">Dana Moore, </w:t>
      </w:r>
      <w:r w:rsidR="00CC7C10">
        <w:rPr>
          <w:rFonts w:ascii="Times New Roman" w:eastAsia="Times New Roman" w:hAnsi="Times New Roman" w:cs="Times New Roman"/>
          <w:sz w:val="24"/>
          <w:szCs w:val="24"/>
        </w:rPr>
        <w:t>Acting City</w:t>
      </w:r>
      <w:r w:rsidRPr="005D5EEA">
        <w:rPr>
          <w:rFonts w:ascii="Times New Roman" w:eastAsia="Times New Roman" w:hAnsi="Times New Roman" w:cs="Times New Roman"/>
          <w:sz w:val="24"/>
          <w:szCs w:val="24"/>
        </w:rPr>
        <w:t xml:space="preserve"> Solicitor</w:t>
      </w:r>
    </w:p>
    <w:p w14:paraId="73B3954B" w14:textId="77777777" w:rsidR="005D5EEA" w:rsidRPr="005D5EEA" w:rsidRDefault="005D5EEA" w:rsidP="005D5EEA">
      <w:pPr>
        <w:tabs>
          <w:tab w:val="left" w:pos="720"/>
        </w:tabs>
        <w:spacing w:after="0" w:line="240" w:lineRule="auto"/>
        <w:jc w:val="both"/>
        <w:rPr>
          <w:rFonts w:ascii="Times New Roman" w:eastAsia="Times New Roman" w:hAnsi="Times New Roman" w:cs="Times New Roman"/>
          <w:sz w:val="24"/>
          <w:szCs w:val="24"/>
        </w:rPr>
      </w:pPr>
      <w:r w:rsidRPr="005D5EEA">
        <w:rPr>
          <w:rFonts w:ascii="Times New Roman" w:eastAsia="Times New Roman" w:hAnsi="Times New Roman" w:cs="Times New Roman"/>
          <w:sz w:val="24"/>
          <w:szCs w:val="24"/>
        </w:rPr>
        <w:tab/>
        <w:t>Matt Stegman, Mayor’s Legislative Liaison</w:t>
      </w:r>
    </w:p>
    <w:p w14:paraId="4B735FA6" w14:textId="77777777" w:rsidR="005D5EEA" w:rsidRPr="005D5EEA" w:rsidRDefault="005D5EEA" w:rsidP="005D5EEA">
      <w:pPr>
        <w:tabs>
          <w:tab w:val="left" w:pos="720"/>
        </w:tabs>
        <w:spacing w:after="0" w:line="240" w:lineRule="auto"/>
        <w:jc w:val="both"/>
        <w:rPr>
          <w:rFonts w:ascii="Times New Roman" w:eastAsia="Times New Roman" w:hAnsi="Times New Roman" w:cs="Times New Roman"/>
          <w:sz w:val="24"/>
          <w:szCs w:val="24"/>
        </w:rPr>
      </w:pPr>
      <w:r w:rsidRPr="005D5EEA">
        <w:rPr>
          <w:rFonts w:ascii="Times New Roman" w:eastAsia="Times New Roman" w:hAnsi="Times New Roman" w:cs="Times New Roman"/>
          <w:sz w:val="24"/>
          <w:szCs w:val="24"/>
        </w:rPr>
        <w:t xml:space="preserve">            Caylin Young, President’s Legislative Director</w:t>
      </w:r>
      <w:r>
        <w:rPr>
          <w:rFonts w:ascii="Times New Roman" w:eastAsia="Times New Roman" w:hAnsi="Times New Roman" w:cs="Times New Roman"/>
          <w:sz w:val="24"/>
          <w:szCs w:val="24"/>
        </w:rPr>
        <w:tab/>
      </w:r>
    </w:p>
    <w:p w14:paraId="24293175" w14:textId="77777777" w:rsidR="005D5EEA" w:rsidRPr="005D5EEA" w:rsidRDefault="005D5EEA" w:rsidP="005D5EEA">
      <w:pPr>
        <w:tabs>
          <w:tab w:val="left" w:pos="72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5D5EEA">
        <w:rPr>
          <w:rFonts w:ascii="Times New Roman" w:eastAsia="Times New Roman" w:hAnsi="Times New Roman" w:cs="Times New Roman"/>
          <w:sz w:val="24"/>
          <w:szCs w:val="24"/>
        </w:rPr>
        <w:t>Elena DiPietro, Chief Solicitor, General Counsel Division</w:t>
      </w:r>
    </w:p>
    <w:p w14:paraId="5B5B1A49" w14:textId="77777777" w:rsidR="005D5EEA" w:rsidRPr="005D5EEA" w:rsidRDefault="005D5EEA" w:rsidP="005D5EEA">
      <w:pPr>
        <w:tabs>
          <w:tab w:val="left" w:pos="720"/>
        </w:tabs>
        <w:spacing w:after="0" w:line="240" w:lineRule="auto"/>
        <w:jc w:val="both"/>
        <w:rPr>
          <w:rFonts w:ascii="Times New Roman" w:eastAsia="Times New Roman" w:hAnsi="Times New Roman" w:cs="Times New Roman"/>
          <w:sz w:val="24"/>
          <w:szCs w:val="24"/>
        </w:rPr>
      </w:pPr>
      <w:r w:rsidRPr="005D5EEA">
        <w:rPr>
          <w:rFonts w:ascii="Times New Roman" w:eastAsia="Times New Roman" w:hAnsi="Times New Roman" w:cs="Times New Roman"/>
          <w:sz w:val="24"/>
          <w:szCs w:val="24"/>
        </w:rPr>
        <w:tab/>
        <w:t>Hilary Ruley, Chief Solicitor</w:t>
      </w:r>
    </w:p>
    <w:p w14:paraId="61BE75B1" w14:textId="0083C755" w:rsidR="00EE57C7" w:rsidRDefault="005D5EEA" w:rsidP="000A43E6">
      <w:pPr>
        <w:tabs>
          <w:tab w:val="left" w:pos="720"/>
        </w:tabs>
        <w:spacing w:after="0" w:line="240" w:lineRule="auto"/>
        <w:jc w:val="both"/>
      </w:pPr>
      <w:r w:rsidRPr="005D5EEA">
        <w:rPr>
          <w:rFonts w:ascii="Times New Roman" w:eastAsia="Times New Roman" w:hAnsi="Times New Roman" w:cs="Times New Roman"/>
          <w:sz w:val="24"/>
          <w:szCs w:val="24"/>
        </w:rPr>
        <w:tab/>
        <w:t>Ashlea Brown, Assistant Solicitor</w:t>
      </w:r>
    </w:p>
    <w:sectPr w:rsidR="00EE57C7" w:rsidSect="00DC0A46">
      <w:foot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D7FB26" w14:textId="77777777" w:rsidR="00DC0A46" w:rsidRDefault="00DC0A46" w:rsidP="00DC0A46">
      <w:pPr>
        <w:spacing w:after="0" w:line="240" w:lineRule="auto"/>
      </w:pPr>
      <w:r>
        <w:separator/>
      </w:r>
    </w:p>
  </w:endnote>
  <w:endnote w:type="continuationSeparator" w:id="0">
    <w:p w14:paraId="20394B32" w14:textId="77777777" w:rsidR="00DC0A46" w:rsidRDefault="00DC0A46" w:rsidP="00DC0A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63638549"/>
      <w:docPartObj>
        <w:docPartGallery w:val="Page Numbers (Bottom of Page)"/>
        <w:docPartUnique/>
      </w:docPartObj>
    </w:sdtPr>
    <w:sdtEndPr>
      <w:rPr>
        <w:noProof/>
      </w:rPr>
    </w:sdtEndPr>
    <w:sdtContent>
      <w:p w14:paraId="1A601BDF" w14:textId="21204CF0" w:rsidR="005B1412" w:rsidRDefault="005B141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CD220C1" w14:textId="77777777" w:rsidR="00DC0A46" w:rsidRDefault="00DC0A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1BF8C3" w14:textId="77777777" w:rsidR="00DC0A46" w:rsidRDefault="00DC0A46" w:rsidP="00DC0A46">
      <w:pPr>
        <w:spacing w:after="0" w:line="240" w:lineRule="auto"/>
      </w:pPr>
      <w:r>
        <w:separator/>
      </w:r>
    </w:p>
  </w:footnote>
  <w:footnote w:type="continuationSeparator" w:id="0">
    <w:p w14:paraId="5BD5482D" w14:textId="77777777" w:rsidR="00DC0A46" w:rsidRDefault="00DC0A46" w:rsidP="00DC0A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080" w:type="dxa"/>
      <w:jc w:val="center"/>
      <w:tblBorders>
        <w:top w:val="single" w:sz="8" w:space="0" w:color="FFB20F"/>
        <w:bottom w:val="single" w:sz="8" w:space="0" w:color="FFB20F"/>
      </w:tblBorders>
      <w:tblCellMar>
        <w:left w:w="0" w:type="dxa"/>
        <w:right w:w="0" w:type="dxa"/>
      </w:tblCellMar>
      <w:tblLook w:val="04A0" w:firstRow="1" w:lastRow="0" w:firstColumn="1" w:lastColumn="0" w:noHBand="0" w:noVBand="1"/>
    </w:tblPr>
    <w:tblGrid>
      <w:gridCol w:w="3150"/>
      <w:gridCol w:w="3150"/>
      <w:gridCol w:w="3780"/>
    </w:tblGrid>
    <w:tr w:rsidR="00DC0A46" w:rsidRPr="00115739" w14:paraId="0FE8B3D1" w14:textId="77777777" w:rsidTr="00A07A3C">
      <w:trPr>
        <w:trHeight w:val="1604"/>
        <w:jc w:val="center"/>
      </w:trPr>
      <w:tc>
        <w:tcPr>
          <w:tcW w:w="3150" w:type="dxa"/>
          <w:tcBorders>
            <w:bottom w:val="single" w:sz="4" w:space="0" w:color="FFC000"/>
          </w:tcBorders>
          <w:vAlign w:val="center"/>
        </w:tcPr>
        <w:p w14:paraId="6DBBA462" w14:textId="77777777" w:rsidR="00DC0A46" w:rsidRDefault="00DC0A46" w:rsidP="00DC0A46">
          <w:pPr>
            <w:spacing w:after="0"/>
            <w:rPr>
              <w:rFonts w:ascii="Garamond" w:hAnsi="Garamond"/>
              <w:b/>
              <w:iCs/>
              <w:smallCaps/>
              <w:color w:val="404040" w:themeColor="text1" w:themeTint="BF"/>
              <w:sz w:val="24"/>
              <w:szCs w:val="24"/>
            </w:rPr>
          </w:pPr>
          <w:r>
            <w:rPr>
              <w:rFonts w:ascii="Garamond" w:hAnsi="Garamond"/>
              <w:b/>
              <w:iCs/>
              <w:smallCaps/>
              <w:color w:val="404040" w:themeColor="text1" w:themeTint="BF"/>
              <w:sz w:val="24"/>
              <w:szCs w:val="24"/>
            </w:rPr>
            <w:t xml:space="preserve">        CITY OF BALTIMORE</w:t>
          </w:r>
        </w:p>
        <w:p w14:paraId="529E23E2" w14:textId="77777777" w:rsidR="00DC0A46" w:rsidRDefault="00DC0A46" w:rsidP="00DC0A46">
          <w:pPr>
            <w:spacing w:after="0"/>
            <w:jc w:val="center"/>
            <w:rPr>
              <w:rFonts w:ascii="Garamond" w:hAnsi="Garamond"/>
              <w:b/>
              <w:iCs/>
              <w:smallCaps/>
              <w:color w:val="404040" w:themeColor="text1" w:themeTint="BF"/>
              <w:sz w:val="24"/>
              <w:szCs w:val="24"/>
            </w:rPr>
          </w:pPr>
        </w:p>
        <w:p w14:paraId="17D37EAE" w14:textId="77777777" w:rsidR="00DC0A46" w:rsidRPr="005E0E1E" w:rsidRDefault="00DC0A46" w:rsidP="00DC0A46">
          <w:pPr>
            <w:spacing w:after="0"/>
            <w:jc w:val="center"/>
            <w:rPr>
              <w:rFonts w:ascii="Garamond" w:hAnsi="Garamond"/>
              <w:b/>
              <w:iCs/>
              <w:color w:val="404040" w:themeColor="text1" w:themeTint="BF"/>
              <w:sz w:val="24"/>
              <w:szCs w:val="24"/>
            </w:rPr>
          </w:pPr>
          <w:r w:rsidRPr="00E512CC">
            <w:rPr>
              <w:rFonts w:ascii="Garamond" w:hAnsi="Garamond"/>
              <w:b/>
              <w:iCs/>
              <w:smallCaps/>
              <w:color w:val="404040" w:themeColor="text1" w:themeTint="BF"/>
              <w:sz w:val="28"/>
              <w:szCs w:val="28"/>
            </w:rPr>
            <w:t>b</w:t>
          </w:r>
          <w:r>
            <w:rPr>
              <w:rFonts w:ascii="Garamond" w:hAnsi="Garamond"/>
              <w:b/>
              <w:iCs/>
              <w:smallCaps/>
              <w:color w:val="404040" w:themeColor="text1" w:themeTint="BF"/>
              <w:sz w:val="24"/>
              <w:szCs w:val="24"/>
            </w:rPr>
            <w:t xml:space="preserve">ernard </w:t>
          </w:r>
          <w:r w:rsidRPr="00E512CC">
            <w:rPr>
              <w:rFonts w:ascii="Garamond" w:hAnsi="Garamond"/>
              <w:b/>
              <w:iCs/>
              <w:smallCaps/>
              <w:color w:val="404040" w:themeColor="text1" w:themeTint="BF"/>
              <w:sz w:val="28"/>
              <w:szCs w:val="28"/>
            </w:rPr>
            <w:t>c</w:t>
          </w:r>
          <w:r>
            <w:rPr>
              <w:rFonts w:ascii="Garamond" w:hAnsi="Garamond"/>
              <w:b/>
              <w:iCs/>
              <w:smallCaps/>
              <w:color w:val="404040" w:themeColor="text1" w:themeTint="BF"/>
              <w:sz w:val="24"/>
              <w:szCs w:val="24"/>
            </w:rPr>
            <w:t>. “</w:t>
          </w:r>
          <w:r w:rsidRPr="00345B40">
            <w:rPr>
              <w:rFonts w:ascii="Garamond" w:hAnsi="Garamond"/>
              <w:b/>
              <w:iCs/>
              <w:smallCaps/>
              <w:color w:val="404040" w:themeColor="text1" w:themeTint="BF"/>
              <w:sz w:val="28"/>
              <w:szCs w:val="28"/>
            </w:rPr>
            <w:t>j</w:t>
          </w:r>
          <w:r>
            <w:rPr>
              <w:rFonts w:ascii="Garamond" w:hAnsi="Garamond"/>
              <w:b/>
              <w:iCs/>
              <w:smallCaps/>
              <w:color w:val="404040" w:themeColor="text1" w:themeTint="BF"/>
              <w:sz w:val="24"/>
              <w:szCs w:val="24"/>
            </w:rPr>
            <w:t xml:space="preserve">ack” </w:t>
          </w:r>
          <w:r w:rsidRPr="00E512CC">
            <w:rPr>
              <w:rFonts w:ascii="Garamond" w:hAnsi="Garamond"/>
              <w:b/>
              <w:iCs/>
              <w:smallCaps/>
              <w:color w:val="404040" w:themeColor="text1" w:themeTint="BF"/>
              <w:sz w:val="28"/>
              <w:szCs w:val="28"/>
            </w:rPr>
            <w:t>y</w:t>
          </w:r>
          <w:r>
            <w:rPr>
              <w:rFonts w:ascii="Garamond" w:hAnsi="Garamond"/>
              <w:b/>
              <w:iCs/>
              <w:smallCaps/>
              <w:color w:val="404040" w:themeColor="text1" w:themeTint="BF"/>
              <w:sz w:val="24"/>
              <w:szCs w:val="24"/>
            </w:rPr>
            <w:t>oung</w:t>
          </w:r>
        </w:p>
        <w:p w14:paraId="27AF8A11" w14:textId="77777777" w:rsidR="00DC0A46" w:rsidRPr="00115739" w:rsidRDefault="00DC0A46" w:rsidP="00DC0A46">
          <w:pPr>
            <w:spacing w:after="0"/>
            <w:jc w:val="center"/>
            <w:rPr>
              <w:rFonts w:ascii="Garamond" w:hAnsi="Garamond"/>
              <w:b/>
              <w:iCs/>
              <w:noProof/>
              <w:color w:val="404040" w:themeColor="text1" w:themeTint="BF"/>
              <w:szCs w:val="16"/>
            </w:rPr>
          </w:pPr>
          <w:r w:rsidRPr="005E0E1E">
            <w:rPr>
              <w:rFonts w:ascii="Garamond" w:hAnsi="Garamond"/>
              <w:b/>
              <w:iCs/>
              <w:color w:val="404040" w:themeColor="text1" w:themeTint="BF"/>
              <w:sz w:val="24"/>
              <w:szCs w:val="24"/>
            </w:rPr>
            <w:t>Mayor</w:t>
          </w:r>
        </w:p>
      </w:tc>
      <w:tc>
        <w:tcPr>
          <w:tcW w:w="3150" w:type="dxa"/>
          <w:tcBorders>
            <w:bottom w:val="single" w:sz="4" w:space="0" w:color="FFC000"/>
          </w:tcBorders>
          <w:vAlign w:val="center"/>
          <w:hideMark/>
        </w:tcPr>
        <w:p w14:paraId="14507224" w14:textId="77777777" w:rsidR="00DC0A46" w:rsidRPr="00EA17FA" w:rsidRDefault="00DC0A46" w:rsidP="00DC0A46">
          <w:pPr>
            <w:spacing w:before="100" w:beforeAutospacing="1" w:after="100" w:afterAutospacing="1" w:line="240" w:lineRule="auto"/>
            <w:contextualSpacing/>
            <w:jc w:val="center"/>
            <w:rPr>
              <w:rFonts w:ascii="Garamond" w:hAnsi="Garamond"/>
              <w:b/>
              <w:iCs/>
              <w:color w:val="404040" w:themeColor="text1" w:themeTint="BF"/>
              <w:sz w:val="12"/>
              <w:szCs w:val="16"/>
            </w:rPr>
          </w:pPr>
        </w:p>
        <w:p w14:paraId="6D3778E3" w14:textId="77777777" w:rsidR="00DC0A46" w:rsidRPr="00EA17FA" w:rsidRDefault="00DC0A46" w:rsidP="00DC0A46">
          <w:pPr>
            <w:spacing w:before="100" w:beforeAutospacing="1" w:after="100" w:afterAutospacing="1" w:line="240" w:lineRule="auto"/>
            <w:contextualSpacing/>
            <w:jc w:val="center"/>
            <w:rPr>
              <w:rFonts w:ascii="Garamond" w:hAnsi="Garamond"/>
              <w:b/>
              <w:iCs/>
              <w:color w:val="404040" w:themeColor="text1" w:themeTint="BF"/>
              <w:szCs w:val="16"/>
            </w:rPr>
          </w:pPr>
          <w:r>
            <w:rPr>
              <w:rFonts w:ascii="Garamond" w:hAnsi="Garamond"/>
              <w:b/>
              <w:iCs/>
              <w:noProof/>
              <w:color w:val="404040" w:themeColor="text1" w:themeTint="BF"/>
              <w:szCs w:val="16"/>
            </w:rPr>
            <w:drawing>
              <wp:inline distT="0" distB="0" distL="0" distR="0" wp14:anchorId="205AFEC8" wp14:editId="5DED03D0">
                <wp:extent cx="825910" cy="99999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wnload.png"/>
                        <pic:cNvPicPr/>
                      </pic:nvPicPr>
                      <pic:blipFill>
                        <a:blip r:embed="rId1">
                          <a:extLst>
                            <a:ext uri="{28A0092B-C50C-407E-A947-70E740481C1C}">
                              <a14:useLocalDpi xmlns:a14="http://schemas.microsoft.com/office/drawing/2010/main" val="0"/>
                            </a:ext>
                          </a:extLst>
                        </a:blip>
                        <a:stretch>
                          <a:fillRect/>
                        </a:stretch>
                      </pic:blipFill>
                      <pic:spPr>
                        <a:xfrm>
                          <a:off x="0" y="0"/>
                          <a:ext cx="854027" cy="1034042"/>
                        </a:xfrm>
                        <a:prstGeom prst="rect">
                          <a:avLst/>
                        </a:prstGeom>
                      </pic:spPr>
                    </pic:pic>
                  </a:graphicData>
                </a:graphic>
              </wp:inline>
            </w:drawing>
          </w:r>
        </w:p>
      </w:tc>
      <w:tc>
        <w:tcPr>
          <w:tcW w:w="3780" w:type="dxa"/>
          <w:tcBorders>
            <w:bottom w:val="single" w:sz="4" w:space="0" w:color="FFC000"/>
          </w:tcBorders>
          <w:tcMar>
            <w:top w:w="0" w:type="dxa"/>
            <w:left w:w="0" w:type="dxa"/>
            <w:bottom w:w="120" w:type="dxa"/>
            <w:right w:w="0" w:type="dxa"/>
          </w:tcMar>
          <w:vAlign w:val="center"/>
          <w:hideMark/>
        </w:tcPr>
        <w:p w14:paraId="042583F2" w14:textId="77777777" w:rsidR="00DC0A46" w:rsidRDefault="00DC0A46" w:rsidP="00DC0A46">
          <w:pPr>
            <w:spacing w:after="0"/>
            <w:jc w:val="center"/>
            <w:rPr>
              <w:rFonts w:ascii="Garamond" w:hAnsi="Garamond"/>
              <w:b/>
              <w:iCs/>
              <w:smallCaps/>
              <w:color w:val="404040" w:themeColor="text1" w:themeTint="BF"/>
              <w:szCs w:val="16"/>
            </w:rPr>
          </w:pPr>
        </w:p>
        <w:p w14:paraId="2E43888C" w14:textId="77777777" w:rsidR="00DC0A46" w:rsidRDefault="00DC0A46" w:rsidP="00DC0A46">
          <w:pPr>
            <w:spacing w:after="0"/>
            <w:rPr>
              <w:rFonts w:ascii="Garamond" w:hAnsi="Garamond"/>
              <w:b/>
              <w:iCs/>
              <w:smallCaps/>
              <w:color w:val="404040" w:themeColor="text1" w:themeTint="BF"/>
              <w:szCs w:val="16"/>
            </w:rPr>
          </w:pPr>
          <w:r>
            <w:rPr>
              <w:rFonts w:ascii="Garamond" w:hAnsi="Garamond"/>
              <w:b/>
              <w:iCs/>
              <w:smallCaps/>
              <w:color w:val="404040" w:themeColor="text1" w:themeTint="BF"/>
              <w:szCs w:val="16"/>
            </w:rPr>
            <w:t>DEPARTMENT OF LAW</w:t>
          </w:r>
        </w:p>
        <w:p w14:paraId="6FDA2E16" w14:textId="77777777" w:rsidR="00DC0A46" w:rsidRPr="005E0E1E" w:rsidRDefault="00DC0A46" w:rsidP="00DC0A46">
          <w:pPr>
            <w:spacing w:after="0"/>
            <w:rPr>
              <w:rFonts w:ascii="Garamond" w:hAnsi="Garamond"/>
              <w:b/>
              <w:iCs/>
              <w:smallCaps/>
              <w:color w:val="404040" w:themeColor="text1" w:themeTint="BF"/>
              <w:sz w:val="20"/>
              <w:szCs w:val="20"/>
            </w:rPr>
          </w:pPr>
          <w:r>
            <w:rPr>
              <w:rFonts w:ascii="Garamond" w:hAnsi="Garamond"/>
              <w:b/>
              <w:iCs/>
              <w:smallCaps/>
              <w:color w:val="404040" w:themeColor="text1" w:themeTint="BF"/>
              <w:sz w:val="20"/>
              <w:szCs w:val="20"/>
            </w:rPr>
            <w:t>Dana P. Moore</w:t>
          </w:r>
          <w:r w:rsidRPr="005E0E1E">
            <w:rPr>
              <w:rFonts w:ascii="Garamond" w:hAnsi="Garamond"/>
              <w:b/>
              <w:iCs/>
              <w:smallCaps/>
              <w:color w:val="404040" w:themeColor="text1" w:themeTint="BF"/>
              <w:sz w:val="20"/>
              <w:szCs w:val="20"/>
            </w:rPr>
            <w:t xml:space="preserve">, </w:t>
          </w:r>
          <w:r>
            <w:rPr>
              <w:rFonts w:ascii="Garamond" w:hAnsi="Garamond"/>
              <w:b/>
              <w:iCs/>
              <w:smallCaps/>
              <w:color w:val="404040" w:themeColor="text1" w:themeTint="BF"/>
              <w:sz w:val="20"/>
              <w:szCs w:val="20"/>
            </w:rPr>
            <w:t xml:space="preserve">Acting </w:t>
          </w:r>
          <w:r w:rsidRPr="005E0E1E">
            <w:rPr>
              <w:rFonts w:ascii="Garamond" w:hAnsi="Garamond"/>
              <w:b/>
              <w:iCs/>
              <w:smallCaps/>
              <w:color w:val="404040" w:themeColor="text1" w:themeTint="BF"/>
              <w:sz w:val="20"/>
              <w:szCs w:val="20"/>
            </w:rPr>
            <w:t>City Solicitor</w:t>
          </w:r>
          <w:r w:rsidRPr="005E0E1E">
            <w:rPr>
              <w:rFonts w:ascii="Garamond" w:hAnsi="Garamond"/>
              <w:b/>
              <w:iCs/>
              <w:smallCaps/>
              <w:color w:val="404040" w:themeColor="text1" w:themeTint="BF"/>
              <w:sz w:val="20"/>
              <w:szCs w:val="20"/>
            </w:rPr>
            <w:br/>
            <w:t xml:space="preserve">100 N. Holliday Street </w:t>
          </w:r>
        </w:p>
        <w:p w14:paraId="2026E9EC" w14:textId="77777777" w:rsidR="00DC0A46" w:rsidRPr="00071D73" w:rsidRDefault="00DC0A46" w:rsidP="00DC0A46">
          <w:pPr>
            <w:spacing w:after="0"/>
            <w:rPr>
              <w:rFonts w:ascii="Garamond" w:hAnsi="Garamond"/>
              <w:b/>
              <w:iCs/>
              <w:smallCaps/>
              <w:color w:val="404040" w:themeColor="text1" w:themeTint="BF"/>
              <w:szCs w:val="16"/>
            </w:rPr>
          </w:pPr>
          <w:r w:rsidRPr="005E0E1E">
            <w:rPr>
              <w:rFonts w:ascii="Garamond" w:hAnsi="Garamond"/>
              <w:b/>
              <w:iCs/>
              <w:smallCaps/>
              <w:color w:val="404040" w:themeColor="text1" w:themeTint="BF"/>
              <w:sz w:val="20"/>
              <w:szCs w:val="20"/>
            </w:rPr>
            <w:t>Suite 101</w:t>
          </w:r>
          <w:r>
            <w:rPr>
              <w:rFonts w:ascii="Garamond" w:hAnsi="Garamond"/>
              <w:b/>
              <w:iCs/>
              <w:smallCaps/>
              <w:color w:val="404040" w:themeColor="text1" w:themeTint="BF"/>
              <w:sz w:val="20"/>
              <w:szCs w:val="20"/>
            </w:rPr>
            <w:t xml:space="preserve">, </w:t>
          </w:r>
          <w:r w:rsidRPr="005E0E1E">
            <w:rPr>
              <w:rFonts w:ascii="Garamond" w:hAnsi="Garamond"/>
              <w:b/>
              <w:iCs/>
              <w:smallCaps/>
              <w:color w:val="404040" w:themeColor="text1" w:themeTint="BF"/>
              <w:sz w:val="20"/>
              <w:szCs w:val="20"/>
            </w:rPr>
            <w:t>City Hall</w:t>
          </w:r>
          <w:r w:rsidRPr="005E0E1E">
            <w:rPr>
              <w:rFonts w:ascii="Garamond" w:hAnsi="Garamond"/>
              <w:b/>
              <w:iCs/>
              <w:smallCaps/>
              <w:color w:val="404040" w:themeColor="text1" w:themeTint="BF"/>
              <w:sz w:val="20"/>
              <w:szCs w:val="20"/>
            </w:rPr>
            <w:br/>
            <w:t>Baltimore, MD 21202</w:t>
          </w:r>
        </w:p>
      </w:tc>
    </w:tr>
  </w:tbl>
  <w:p w14:paraId="6D470B6D" w14:textId="77777777" w:rsidR="00DC0A46" w:rsidRDefault="00DC0A4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0A46"/>
    <w:rsid w:val="00002883"/>
    <w:rsid w:val="00047036"/>
    <w:rsid w:val="000A43E6"/>
    <w:rsid w:val="00182C33"/>
    <w:rsid w:val="001A3311"/>
    <w:rsid w:val="001E2A11"/>
    <w:rsid w:val="00231617"/>
    <w:rsid w:val="002562D5"/>
    <w:rsid w:val="002634B3"/>
    <w:rsid w:val="002A58CE"/>
    <w:rsid w:val="002B0DA4"/>
    <w:rsid w:val="002B5EBA"/>
    <w:rsid w:val="002D0B85"/>
    <w:rsid w:val="002E3A6E"/>
    <w:rsid w:val="00331FD4"/>
    <w:rsid w:val="003A033A"/>
    <w:rsid w:val="003B7447"/>
    <w:rsid w:val="00440DC3"/>
    <w:rsid w:val="004B6121"/>
    <w:rsid w:val="004B719C"/>
    <w:rsid w:val="00545377"/>
    <w:rsid w:val="0057233E"/>
    <w:rsid w:val="00581001"/>
    <w:rsid w:val="005B1412"/>
    <w:rsid w:val="005B7057"/>
    <w:rsid w:val="005D5EEA"/>
    <w:rsid w:val="00600945"/>
    <w:rsid w:val="006028BB"/>
    <w:rsid w:val="00604D8A"/>
    <w:rsid w:val="00685C8F"/>
    <w:rsid w:val="006A4703"/>
    <w:rsid w:val="006E7D4F"/>
    <w:rsid w:val="006F4929"/>
    <w:rsid w:val="0071069C"/>
    <w:rsid w:val="00727E66"/>
    <w:rsid w:val="007D7178"/>
    <w:rsid w:val="008A4073"/>
    <w:rsid w:val="008A40E3"/>
    <w:rsid w:val="008D081A"/>
    <w:rsid w:val="008F1C65"/>
    <w:rsid w:val="0092065C"/>
    <w:rsid w:val="00974481"/>
    <w:rsid w:val="009F0B42"/>
    <w:rsid w:val="00A037AF"/>
    <w:rsid w:val="00A1658B"/>
    <w:rsid w:val="00B521FE"/>
    <w:rsid w:val="00B85274"/>
    <w:rsid w:val="00BB67E5"/>
    <w:rsid w:val="00BF6096"/>
    <w:rsid w:val="00C12D55"/>
    <w:rsid w:val="00C3465D"/>
    <w:rsid w:val="00CC7C10"/>
    <w:rsid w:val="00CD77C7"/>
    <w:rsid w:val="00CE025C"/>
    <w:rsid w:val="00D85925"/>
    <w:rsid w:val="00D86A77"/>
    <w:rsid w:val="00D94101"/>
    <w:rsid w:val="00D94AC6"/>
    <w:rsid w:val="00DC0A46"/>
    <w:rsid w:val="00E1004D"/>
    <w:rsid w:val="00E162D2"/>
    <w:rsid w:val="00E96CEE"/>
    <w:rsid w:val="00EE57C7"/>
    <w:rsid w:val="00F521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E961C3"/>
  <w15:chartTrackingRefBased/>
  <w15:docId w15:val="{7F898BC5-41F4-48B8-A911-B22E2A237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4481"/>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0A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0A46"/>
  </w:style>
  <w:style w:type="paragraph" w:styleId="Footer">
    <w:name w:val="footer"/>
    <w:basedOn w:val="Normal"/>
    <w:link w:val="FooterChar"/>
    <w:uiPriority w:val="99"/>
    <w:unhideWhenUsed/>
    <w:rsid w:val="00DC0A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0A46"/>
  </w:style>
  <w:style w:type="paragraph" w:styleId="BalloonText">
    <w:name w:val="Balloon Text"/>
    <w:basedOn w:val="Normal"/>
    <w:link w:val="BalloonTextChar"/>
    <w:uiPriority w:val="99"/>
    <w:semiHidden/>
    <w:unhideWhenUsed/>
    <w:rsid w:val="002E3A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3A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316</TotalTime>
  <Pages>2</Pages>
  <Words>689</Words>
  <Characters>3928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Ruley, Hilary B. (LAW)</dc:creator>
  <cp:keywords/>
  <dc:description/>
  <cp:lastModifiedBy>V853291@outlook.com</cp:lastModifiedBy>
  <cp:revision>8</cp:revision>
  <dcterms:created xsi:type="dcterms:W3CDTF">2020-10-27T13:26:00Z</dcterms:created>
  <dcterms:modified xsi:type="dcterms:W3CDTF">2020-10-29T18:18:00Z</dcterms:modified>
</cp:coreProperties>
</file>